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8B" w:rsidRPr="0012264C" w:rsidRDefault="00997D7F" w:rsidP="00501C8B">
      <w:pPr>
        <w:jc w:val="center"/>
        <w:rPr>
          <w:rFonts w:ascii="Sylfaen" w:hAnsi="Sylfaen"/>
          <w:b/>
          <w:lang w:val="ka-GE"/>
        </w:rPr>
      </w:pPr>
      <w:r>
        <w:rPr>
          <w:rFonts w:ascii="Sylfaen" w:hAnsi="Sylfaen"/>
          <w:b/>
          <w:lang w:val="ka-GE"/>
        </w:rPr>
        <w:t>„</w:t>
      </w:r>
      <w:r w:rsidR="00501C8B" w:rsidRPr="0012264C">
        <w:rPr>
          <w:rFonts w:ascii="Sylfaen" w:hAnsi="Sylfaen"/>
          <w:b/>
          <w:lang w:val="ka-GE"/>
        </w:rPr>
        <w:t>საქართველოს ორგანულ კანონში „საქართველოს შრომის კოდექსი“</w:t>
      </w:r>
      <w:r w:rsidR="00501C8B" w:rsidRPr="0012264C">
        <w:rPr>
          <w:rFonts w:ascii="Sylfaen" w:hAnsi="Sylfaen"/>
          <w:b/>
        </w:rPr>
        <w:t xml:space="preserve"> </w:t>
      </w:r>
      <w:r w:rsidR="00501C8B" w:rsidRPr="0012264C">
        <w:rPr>
          <w:rFonts w:ascii="Sylfaen" w:hAnsi="Sylfaen"/>
          <w:b/>
          <w:lang w:val="ka-GE"/>
        </w:rPr>
        <w:t>ცვლილების შეტანის შესახებ“ საქართველოს ორგანული კანონის პროექტის</w:t>
      </w:r>
      <w:r w:rsidR="00501C8B" w:rsidRPr="0012264C">
        <w:rPr>
          <w:rFonts w:ascii="Sylfaen" w:hAnsi="Sylfaen"/>
          <w:b/>
        </w:rPr>
        <w:t xml:space="preserve"> </w:t>
      </w:r>
      <w:r w:rsidR="00501C8B" w:rsidRPr="0012264C">
        <w:rPr>
          <w:rFonts w:ascii="Sylfaen" w:hAnsi="Sylfaen"/>
          <w:b/>
          <w:lang w:val="ka-GE"/>
        </w:rPr>
        <w:t xml:space="preserve">და „შრომის ინსპექციის შესახებ“ საქართველოს კანონის პროექტის ევროკავშირის სამართლებრივ აქტთან </w:t>
      </w:r>
      <w:r w:rsidR="00501C8B" w:rsidRPr="0012264C">
        <w:rPr>
          <w:rFonts w:ascii="Sylfaen" w:hAnsi="Sylfaen"/>
          <w:b/>
        </w:rPr>
        <w:t>(</w:t>
      </w:r>
      <w:r w:rsidR="00501C8B" w:rsidRPr="0012264C">
        <w:rPr>
          <w:rFonts w:ascii="Sylfaen" w:hAnsi="Sylfaen"/>
          <w:b/>
          <w:lang w:val="ka-GE"/>
        </w:rPr>
        <w:t xml:space="preserve">დირექტივა </w:t>
      </w:r>
      <w:r w:rsidR="00501C8B" w:rsidRPr="005F5C4B">
        <w:rPr>
          <w:rFonts w:ascii="Sylfaen" w:hAnsi="Sylfaen"/>
          <w:b/>
          <w:lang w:val="ka-GE"/>
        </w:rPr>
        <w:t>97/81/EC</w:t>
      </w:r>
      <w:r w:rsidR="00501C8B" w:rsidRPr="0012264C">
        <w:rPr>
          <w:rFonts w:ascii="Sylfaen" w:hAnsi="Sylfaen"/>
          <w:b/>
          <w:lang w:val="ka-GE"/>
        </w:rPr>
        <w:t xml:space="preserve">) შესაბამისობის ცხრილი </w:t>
      </w:r>
    </w:p>
    <w:p w:rsidR="00381570" w:rsidRDefault="00381570" w:rsidP="006968F9">
      <w:pPr>
        <w:spacing w:after="0" w:line="240" w:lineRule="auto"/>
        <w:rPr>
          <w:rFonts w:ascii="Sylfaen" w:hAnsi="Sylfaen"/>
          <w:lang w:val="ka-GE"/>
        </w:rPr>
      </w:pPr>
    </w:p>
    <w:p w:rsidR="00381570" w:rsidRDefault="00381570" w:rsidP="006968F9">
      <w:pPr>
        <w:spacing w:after="0" w:line="240" w:lineRule="auto"/>
        <w:rPr>
          <w:rFonts w:ascii="Sylfaen" w:hAnsi="Sylfaen"/>
          <w:lang w:val="ka-GE"/>
        </w:rPr>
      </w:pPr>
    </w:p>
    <w:tbl>
      <w:tblPr>
        <w:tblStyle w:val="TableGrid"/>
        <w:tblW w:w="12978" w:type="dxa"/>
        <w:tblLayout w:type="fixed"/>
        <w:tblLook w:val="04A0"/>
      </w:tblPr>
      <w:tblGrid>
        <w:gridCol w:w="918"/>
        <w:gridCol w:w="2037"/>
        <w:gridCol w:w="357"/>
        <w:gridCol w:w="666"/>
        <w:gridCol w:w="3420"/>
        <w:gridCol w:w="630"/>
        <w:gridCol w:w="4950"/>
      </w:tblGrid>
      <w:tr w:rsidR="00E335BB" w:rsidTr="00997D7F">
        <w:tc>
          <w:tcPr>
            <w:tcW w:w="2955" w:type="dxa"/>
            <w:gridSpan w:val="2"/>
          </w:tcPr>
          <w:p w:rsidR="00210243" w:rsidRPr="005F5C4B" w:rsidRDefault="005F5C4B" w:rsidP="005F5C4B">
            <w:pPr>
              <w:jc w:val="center"/>
              <w:rPr>
                <w:rFonts w:ascii="Sylfaen" w:hAnsi="Sylfaen"/>
                <w:lang w:val="ka-GE"/>
              </w:rPr>
            </w:pPr>
            <w:r w:rsidRPr="005F5C4B">
              <w:rPr>
                <w:rFonts w:ascii="Sylfaen" w:hAnsi="Sylfaen"/>
                <w:lang w:val="ka-GE"/>
              </w:rPr>
              <w:t xml:space="preserve">1997 წლის 15 დეკემბრის საბჭოს </w:t>
            </w:r>
            <w:r w:rsidRPr="005F5C4B">
              <w:rPr>
                <w:rFonts w:ascii="Sylfaen" w:hAnsi="Sylfaen"/>
                <w:b/>
                <w:lang w:val="ka-GE"/>
              </w:rPr>
              <w:t>97/81/EC დირექტივა</w:t>
            </w:r>
            <w:r w:rsidRPr="005F5C4B">
              <w:rPr>
                <w:rFonts w:ascii="Sylfaen" w:hAnsi="Sylfaen"/>
                <w:lang w:val="ka-GE"/>
              </w:rPr>
              <w:t xml:space="preserve"> ევროპის მრეწველთა და დამსაქმებელთა კონფედერაციის კავშირის (UNICE), დამსაქმებელთა და საწარმოთა ევროპული ცენტრისა (CEEP) და ევროპის პროფკავშირების კონფედერაციის (ETUC) მიერ გაფორმებული “ნახევარ განაკვეთზე სამუშაოს შესახებ” ჩარჩო შეთანხმების თაობაზე - დანართი: ნახევარ განაკვეთზე სამუშაოს შესახებ” ჩარჩო შეთანხმება</w:t>
            </w:r>
          </w:p>
        </w:tc>
        <w:tc>
          <w:tcPr>
            <w:tcW w:w="10023"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Default="00381570" w:rsidP="00E335BB">
            <w:pPr>
              <w:rPr>
                <w:rFonts w:ascii="Sylfaen" w:hAnsi="Sylfaen"/>
                <w:b/>
                <w:lang w:val="ka-GE"/>
              </w:rPr>
            </w:pPr>
            <w:r w:rsidRPr="006968F9">
              <w:rPr>
                <w:lang w:val="ka-GE"/>
              </w:rPr>
              <w:t xml:space="preserve">№1. </w:t>
            </w:r>
            <w:r w:rsidR="00BE27F4" w:rsidRPr="00843E0B">
              <w:rPr>
                <w:rFonts w:ascii="Sylfaen" w:hAnsi="Sylfaen"/>
                <w:b/>
                <w:lang w:val="ka-GE"/>
              </w:rPr>
              <w:t>საქართველოს ორგანული კანონის პრო</w:t>
            </w:r>
            <w:r w:rsidR="00843E0B" w:rsidRPr="00843E0B">
              <w:rPr>
                <w:rFonts w:ascii="Sylfaen" w:hAnsi="Sylfaen"/>
                <w:b/>
                <w:lang w:val="ka-GE"/>
              </w:rPr>
              <w:t>ე</w:t>
            </w:r>
            <w:r w:rsidR="00BE27F4" w:rsidRPr="00843E0B">
              <w:rPr>
                <w:rFonts w:ascii="Sylfaen" w:hAnsi="Sylfaen"/>
                <w:b/>
                <w:lang w:val="ka-GE"/>
              </w:rPr>
              <w:t>ქტი „საქართველოს ორგანულ კანონში „საქართველოს შრომის კოდექსი“ ცვლილების შეტანის შესახებ“</w:t>
            </w:r>
          </w:p>
          <w:p w:rsidR="001F3BF8" w:rsidRDefault="001F3BF8" w:rsidP="00E335BB">
            <w:pPr>
              <w:rPr>
                <w:rFonts w:ascii="Sylfaen" w:hAnsi="Sylfaen"/>
                <w:b/>
                <w:lang w:val="ka-GE"/>
              </w:rPr>
            </w:pPr>
          </w:p>
          <w:p w:rsidR="001F3BF8" w:rsidRPr="005923E0" w:rsidRDefault="001F3BF8" w:rsidP="001F3BF8">
            <w:pPr>
              <w:rPr>
                <w:b/>
                <w:bCs/>
                <w:highlight w:val="yellow"/>
                <w:lang w:val="ka-GE"/>
              </w:rPr>
            </w:pPr>
            <w:r w:rsidRPr="005923E0">
              <w:rPr>
                <w:b/>
                <w:bCs/>
                <w:lang w:val="ka-GE"/>
              </w:rPr>
              <w:t xml:space="preserve">№2 </w:t>
            </w:r>
            <w:r w:rsidRPr="005923E0">
              <w:rPr>
                <w:rFonts w:ascii="Sylfaen" w:hAnsi="Sylfaen" w:cs="Sylfaen"/>
                <w:b/>
                <w:bCs/>
                <w:lang w:val="ka-GE"/>
              </w:rPr>
              <w:t>საქართველოს კანონი „დისკრიმინაციის ყველა ფორმის აღმოფხვრის შესახებ“</w:t>
            </w:r>
          </w:p>
          <w:p w:rsidR="001F3BF8" w:rsidRPr="006968F9" w:rsidRDefault="001F3BF8"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p w:rsidR="001F3BF8" w:rsidRDefault="001F3BF8" w:rsidP="00E335BB">
            <w:pPr>
              <w:rPr>
                <w:rFonts w:ascii="Sylfaen" w:hAnsi="Sylfaen"/>
                <w:lang w:val="ka-GE"/>
              </w:rPr>
            </w:pPr>
          </w:p>
        </w:tc>
      </w:tr>
      <w:tr w:rsidR="00A45F51" w:rsidRPr="006968F9" w:rsidTr="00997D7F">
        <w:tc>
          <w:tcPr>
            <w:tcW w:w="918" w:type="dxa"/>
          </w:tcPr>
          <w:p w:rsidR="00381570" w:rsidRPr="006968F9" w:rsidRDefault="00381570" w:rsidP="00E335BB">
            <w:pPr>
              <w:jc w:val="center"/>
              <w:rPr>
                <w:rFonts w:ascii="Sylfaen" w:hAnsi="Sylfaen"/>
                <w:b/>
                <w:lang w:val="ka-GE"/>
              </w:rPr>
            </w:pPr>
            <w:r>
              <w:rPr>
                <w:rFonts w:ascii="Sylfaen" w:hAnsi="Sylfaen"/>
                <w:b/>
                <w:lang w:val="ka-GE"/>
              </w:rPr>
              <w:t>1</w:t>
            </w:r>
          </w:p>
        </w:tc>
        <w:tc>
          <w:tcPr>
            <w:tcW w:w="203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3420" w:type="dxa"/>
          </w:tcPr>
          <w:p w:rsidR="00381570" w:rsidRPr="006968F9" w:rsidRDefault="00381570" w:rsidP="00E335BB">
            <w:pPr>
              <w:jc w:val="center"/>
              <w:rPr>
                <w:rFonts w:ascii="Sylfaen" w:hAnsi="Sylfaen"/>
                <w:b/>
                <w:lang w:val="ka-GE"/>
              </w:rPr>
            </w:pPr>
            <w:r>
              <w:rPr>
                <w:rFonts w:ascii="Sylfaen" w:hAnsi="Sylfaen"/>
                <w:b/>
                <w:lang w:val="ka-GE"/>
              </w:rPr>
              <w:t>5</w:t>
            </w:r>
          </w:p>
        </w:tc>
        <w:tc>
          <w:tcPr>
            <w:tcW w:w="630" w:type="dxa"/>
          </w:tcPr>
          <w:p w:rsidR="00381570" w:rsidRPr="006968F9" w:rsidRDefault="00381570" w:rsidP="00E335BB">
            <w:pPr>
              <w:jc w:val="center"/>
              <w:rPr>
                <w:rFonts w:ascii="Sylfaen" w:hAnsi="Sylfaen"/>
                <w:b/>
                <w:lang w:val="ka-GE"/>
              </w:rPr>
            </w:pPr>
            <w:r>
              <w:rPr>
                <w:rFonts w:ascii="Sylfaen" w:hAnsi="Sylfaen"/>
                <w:b/>
                <w:lang w:val="ka-GE"/>
              </w:rPr>
              <w:t>6</w:t>
            </w:r>
          </w:p>
        </w:tc>
        <w:tc>
          <w:tcPr>
            <w:tcW w:w="4950" w:type="dxa"/>
          </w:tcPr>
          <w:p w:rsidR="00381570" w:rsidRPr="006968F9" w:rsidRDefault="00381570" w:rsidP="00E335BB">
            <w:pPr>
              <w:jc w:val="center"/>
              <w:rPr>
                <w:rFonts w:ascii="Sylfaen" w:hAnsi="Sylfaen"/>
                <w:b/>
                <w:lang w:val="ka-GE"/>
              </w:rPr>
            </w:pPr>
            <w:r>
              <w:rPr>
                <w:rFonts w:ascii="Sylfaen" w:hAnsi="Sylfaen"/>
                <w:b/>
                <w:lang w:val="ka-GE"/>
              </w:rPr>
              <w:t>7</w:t>
            </w:r>
          </w:p>
        </w:tc>
      </w:tr>
      <w:tr w:rsidR="00235522" w:rsidRPr="00381570" w:rsidTr="00997D7F">
        <w:tc>
          <w:tcPr>
            <w:tcW w:w="918" w:type="dxa"/>
          </w:tcPr>
          <w:p w:rsidR="00235522" w:rsidRPr="00B622E0" w:rsidRDefault="00B622E0" w:rsidP="00312292">
            <w:pPr>
              <w:jc w:val="both"/>
              <w:rPr>
                <w:rFonts w:ascii="Sylfaen" w:hAnsi="Sylfaen"/>
              </w:rPr>
            </w:pPr>
            <w:r>
              <w:rPr>
                <w:rFonts w:ascii="Sylfaen" w:hAnsi="Sylfaen"/>
              </w:rPr>
              <w:t>1</w:t>
            </w:r>
          </w:p>
        </w:tc>
        <w:tc>
          <w:tcPr>
            <w:tcW w:w="2037" w:type="dxa"/>
          </w:tcPr>
          <w:p w:rsidR="00235522" w:rsidRPr="00235522" w:rsidRDefault="00235522" w:rsidP="00235522">
            <w:pPr>
              <w:jc w:val="both"/>
              <w:rPr>
                <w:rFonts w:ascii="Sylfaen" w:hAnsi="Sylfaen"/>
                <w:b/>
                <w:lang w:val="ka-GE"/>
              </w:rPr>
            </w:pPr>
            <w:r w:rsidRPr="00235522">
              <w:rPr>
                <w:rFonts w:ascii="Sylfaen" w:hAnsi="Sylfaen"/>
                <w:b/>
                <w:lang w:val="ka-GE"/>
              </w:rPr>
              <w:t>მიზანი</w:t>
            </w:r>
          </w:p>
          <w:p w:rsidR="00235522" w:rsidRPr="00235522" w:rsidRDefault="00235522" w:rsidP="00235522">
            <w:pPr>
              <w:jc w:val="both"/>
              <w:rPr>
                <w:rFonts w:ascii="Sylfaen" w:hAnsi="Sylfaen"/>
                <w:lang w:val="ka-GE"/>
              </w:rPr>
            </w:pPr>
            <w:r w:rsidRPr="00235522">
              <w:rPr>
                <w:rFonts w:ascii="Sylfaen" w:hAnsi="Sylfaen"/>
                <w:lang w:val="ka-GE"/>
              </w:rPr>
              <w:t>წინამდებარე ჩარჩო შეთანხმებამ უნდა</w:t>
            </w:r>
          </w:p>
          <w:p w:rsidR="00235522" w:rsidRPr="00235522" w:rsidRDefault="00235522" w:rsidP="00235522">
            <w:pPr>
              <w:jc w:val="both"/>
              <w:rPr>
                <w:rFonts w:ascii="Sylfaen" w:hAnsi="Sylfaen"/>
                <w:lang w:val="ka-GE"/>
              </w:rPr>
            </w:pPr>
            <w:r w:rsidRPr="00235522">
              <w:rPr>
                <w:rFonts w:ascii="Sylfaen" w:hAnsi="Sylfaen"/>
                <w:lang w:val="ka-GE"/>
              </w:rPr>
              <w:t xml:space="preserve">ა)  დაიცვას არასრულ </w:t>
            </w:r>
            <w:r w:rsidRPr="00235522">
              <w:rPr>
                <w:rFonts w:ascii="Sylfaen" w:hAnsi="Sylfaen"/>
                <w:lang w:val="ka-GE"/>
              </w:rPr>
              <w:lastRenderedPageBreak/>
              <w:t>სამუშაო განაკვეთზე მუშაობა დისკრიმინაციისაგან და გააუმჯობესოს არასრულ სამუშაო განაკვეთზე მუშაობის ხარისხი;</w:t>
            </w:r>
          </w:p>
          <w:p w:rsidR="00235522" w:rsidRPr="003077B4" w:rsidRDefault="00235522" w:rsidP="00235522">
            <w:pPr>
              <w:jc w:val="both"/>
              <w:rPr>
                <w:rFonts w:ascii="Sylfaen" w:hAnsi="Sylfaen"/>
                <w:lang w:val="ka-GE"/>
              </w:rPr>
            </w:pPr>
            <w:r w:rsidRPr="00235522">
              <w:rPr>
                <w:rFonts w:ascii="Sylfaen" w:hAnsi="Sylfaen"/>
                <w:lang w:val="ka-GE"/>
              </w:rPr>
              <w:t>ბ) განავითაროს არასრულ სამუშაო განაკვეთზე მუშაობა  და ხელი შეუწყოს სამუშაო დროის მოქნილ ორგანიზებას, რომელიც უპასუხებს დამსაქმებელთა და დასაქმებულთა მოთხოვნებს.</w:t>
            </w:r>
          </w:p>
        </w:tc>
        <w:tc>
          <w:tcPr>
            <w:tcW w:w="357" w:type="dxa"/>
          </w:tcPr>
          <w:p w:rsidR="00235522" w:rsidRDefault="001F3BF8" w:rsidP="00381570">
            <w:pPr>
              <w:jc w:val="both"/>
              <w:rPr>
                <w:rFonts w:ascii="Sylfaen" w:hAnsi="Sylfaen"/>
                <w:lang w:val="ka-GE"/>
              </w:rPr>
            </w:pPr>
            <w:r>
              <w:rPr>
                <w:rFonts w:ascii="Sylfaen" w:hAnsi="Sylfaen"/>
                <w:lang w:val="ka-GE"/>
              </w:rPr>
              <w:lastRenderedPageBreak/>
              <w:t>1</w:t>
            </w: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F830F9" w:rsidRDefault="00F830F9" w:rsidP="00381570">
            <w:pPr>
              <w:jc w:val="both"/>
              <w:rPr>
                <w:rFonts w:ascii="Sylfaen" w:hAnsi="Sylfaen"/>
                <w:lang w:val="ka-GE"/>
              </w:rPr>
            </w:pPr>
          </w:p>
          <w:p w:rsidR="00997D7F" w:rsidRPr="00997D7F" w:rsidRDefault="00997D7F" w:rsidP="00381570">
            <w:pPr>
              <w:jc w:val="both"/>
              <w:rPr>
                <w:rFonts w:ascii="Sylfaen" w:hAnsi="Sylfaen"/>
                <w:lang w:val="ka-GE"/>
              </w:rPr>
            </w:pPr>
          </w:p>
          <w:p w:rsidR="001F3BF8" w:rsidRPr="001F3BF8" w:rsidRDefault="001F3BF8" w:rsidP="00381570">
            <w:pPr>
              <w:jc w:val="both"/>
              <w:rPr>
                <w:rFonts w:ascii="Sylfaen" w:hAnsi="Sylfaen"/>
                <w:lang w:val="ka-GE"/>
              </w:rPr>
            </w:pPr>
            <w:r>
              <w:rPr>
                <w:rFonts w:ascii="Sylfaen" w:hAnsi="Sylfaen"/>
                <w:lang w:val="ka-GE"/>
              </w:rPr>
              <w:t>2</w:t>
            </w:r>
          </w:p>
        </w:tc>
        <w:tc>
          <w:tcPr>
            <w:tcW w:w="666" w:type="dxa"/>
          </w:tcPr>
          <w:p w:rsidR="00235522" w:rsidRDefault="00997D7F" w:rsidP="00381570">
            <w:pPr>
              <w:jc w:val="both"/>
              <w:rPr>
                <w:rFonts w:ascii="Sylfaen" w:hAnsi="Sylfaen"/>
                <w:lang w:val="ka-GE"/>
              </w:rPr>
            </w:pPr>
            <w:r>
              <w:rPr>
                <w:rFonts w:ascii="Sylfaen" w:hAnsi="Sylfaen"/>
                <w:lang w:val="ka-GE"/>
              </w:rPr>
              <w:lastRenderedPageBreak/>
              <w:t>4</w:t>
            </w:r>
            <w:r w:rsidR="001F3BF8">
              <w:rPr>
                <w:rFonts w:ascii="Sylfaen" w:hAnsi="Sylfaen"/>
                <w:lang w:val="ka-GE"/>
              </w:rPr>
              <w:t>.1</w:t>
            </w: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F830F9" w:rsidRDefault="00F830F9" w:rsidP="00381570">
            <w:pPr>
              <w:jc w:val="both"/>
              <w:rPr>
                <w:rFonts w:ascii="Sylfaen" w:hAnsi="Sylfaen"/>
              </w:rPr>
            </w:pPr>
          </w:p>
          <w:p w:rsidR="001F3BF8" w:rsidRDefault="001D41CE" w:rsidP="00381570">
            <w:pPr>
              <w:jc w:val="both"/>
              <w:rPr>
                <w:rFonts w:ascii="Sylfaen" w:hAnsi="Sylfaen"/>
                <w:lang w:val="ka-GE"/>
              </w:rPr>
            </w:pPr>
            <w:r>
              <w:rPr>
                <w:rFonts w:ascii="Sylfaen" w:hAnsi="Sylfaen"/>
                <w:lang w:val="ka-GE"/>
              </w:rPr>
              <w:t>16.1</w:t>
            </w: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D41CE" w:rsidRDefault="001D41CE" w:rsidP="00381570">
            <w:pPr>
              <w:jc w:val="both"/>
              <w:rPr>
                <w:rFonts w:ascii="Sylfaen" w:hAnsi="Sylfaen"/>
                <w:lang w:val="ka-GE"/>
              </w:rPr>
            </w:pPr>
            <w:r>
              <w:rPr>
                <w:rFonts w:ascii="Sylfaen" w:hAnsi="Sylfaen"/>
                <w:lang w:val="ka-GE"/>
              </w:rPr>
              <w:t>16.2</w:t>
            </w: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1D41CE" w:rsidRDefault="001D41CE" w:rsidP="00381570">
            <w:pPr>
              <w:jc w:val="both"/>
              <w:rPr>
                <w:rFonts w:ascii="Sylfaen" w:hAnsi="Sylfaen"/>
                <w:lang w:val="ka-GE"/>
              </w:rPr>
            </w:pPr>
          </w:p>
          <w:p w:rsidR="00997D7F" w:rsidRDefault="00997D7F" w:rsidP="00381570">
            <w:pPr>
              <w:jc w:val="both"/>
              <w:rPr>
                <w:rFonts w:ascii="Sylfaen" w:hAnsi="Sylfaen"/>
                <w:lang w:val="ka-GE"/>
              </w:rPr>
            </w:pPr>
          </w:p>
          <w:p w:rsidR="001F3BF8" w:rsidRDefault="001D41CE" w:rsidP="00381570">
            <w:pPr>
              <w:jc w:val="both"/>
              <w:rPr>
                <w:rFonts w:ascii="Sylfaen" w:hAnsi="Sylfaen"/>
                <w:lang w:val="ka-GE"/>
              </w:rPr>
            </w:pPr>
            <w:r>
              <w:rPr>
                <w:rFonts w:ascii="Sylfaen" w:hAnsi="Sylfaen"/>
                <w:lang w:val="ka-GE"/>
              </w:rPr>
              <w:t>1</w:t>
            </w: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Default="001F3BF8" w:rsidP="00381570">
            <w:pPr>
              <w:jc w:val="both"/>
              <w:rPr>
                <w:rFonts w:ascii="Sylfaen" w:hAnsi="Sylfaen"/>
                <w:lang w:val="ka-GE"/>
              </w:rPr>
            </w:pPr>
          </w:p>
          <w:p w:rsidR="001F3BF8" w:rsidRPr="001F3BF8" w:rsidRDefault="001F3BF8" w:rsidP="00381570">
            <w:pPr>
              <w:jc w:val="both"/>
              <w:rPr>
                <w:rFonts w:ascii="Sylfaen" w:hAnsi="Sylfaen"/>
                <w:lang w:val="ka-GE"/>
              </w:rPr>
            </w:pPr>
          </w:p>
        </w:tc>
        <w:tc>
          <w:tcPr>
            <w:tcW w:w="3420" w:type="dxa"/>
          </w:tcPr>
          <w:p w:rsidR="00235522" w:rsidRPr="00F830F9" w:rsidRDefault="00997D7F" w:rsidP="00997D7F">
            <w:pPr>
              <w:pStyle w:val="BodyText"/>
              <w:spacing w:line="244" w:lineRule="auto"/>
              <w:ind w:right="108"/>
              <w:jc w:val="both"/>
              <w:rPr>
                <w:lang w:val="ka-GE"/>
              </w:rPr>
            </w:pPr>
            <w:r w:rsidRPr="008B222C">
              <w:rPr>
                <w:sz w:val="22"/>
                <w:szCs w:val="22"/>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w:t>
            </w:r>
            <w:r w:rsidRPr="008B222C">
              <w:rPr>
                <w:sz w:val="22"/>
                <w:szCs w:val="22"/>
                <w:lang w:val="ka-GE"/>
              </w:rPr>
              <w:lastRenderedPageBreak/>
              <w:t xml:space="preserve">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w:t>
            </w:r>
            <w:r w:rsidRPr="003C3181">
              <w:rPr>
                <w:sz w:val="22"/>
                <w:szCs w:val="22"/>
                <w:lang w:val="ka-GE"/>
              </w:rPr>
              <w:t>ჯანმრთელობის მდგომარეობის, რელიგიური, საზოგადოებრივი, პოლი</w:t>
            </w:r>
            <w:r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w:t>
            </w:r>
            <w:r>
              <w:rPr>
                <w:sz w:val="22"/>
                <w:szCs w:val="22"/>
              </w:rPr>
              <w:t xml:space="preserve">, </w:t>
            </w:r>
            <w:r>
              <w:rPr>
                <w:sz w:val="22"/>
                <w:szCs w:val="22"/>
                <w:lang w:val="ka-GE"/>
              </w:rPr>
              <w:t>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w:t>
            </w:r>
            <w:r w:rsidRPr="008B222C">
              <w:rPr>
                <w:sz w:val="22"/>
                <w:szCs w:val="22"/>
                <w:lang w:val="ka-GE"/>
              </w:rPr>
              <w:t xml:space="preserve">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w:t>
            </w:r>
            <w:r w:rsidRPr="008B222C">
              <w:rPr>
                <w:sz w:val="22"/>
                <w:szCs w:val="22"/>
                <w:lang w:val="ka-GE"/>
              </w:rPr>
              <w:lastRenderedPageBreak/>
              <w:t>მოპყრობის უარყოფას ან ხელყოფას.</w:t>
            </w:r>
          </w:p>
          <w:p w:rsidR="001F3BF8" w:rsidRPr="00F830F9" w:rsidRDefault="001F3BF8" w:rsidP="00254CA3">
            <w:pPr>
              <w:jc w:val="both"/>
              <w:rPr>
                <w:rFonts w:ascii="Sylfaen" w:hAnsi="Sylfaen"/>
                <w:lang w:val="ka-GE"/>
              </w:rPr>
            </w:pPr>
          </w:p>
          <w:p w:rsidR="001F3BF8" w:rsidRPr="00F66A2D" w:rsidRDefault="001F3BF8" w:rsidP="001F3BF8">
            <w:pPr>
              <w:pStyle w:val="BodyText"/>
              <w:spacing w:line="244" w:lineRule="auto"/>
              <w:ind w:right="108"/>
              <w:jc w:val="both"/>
              <w:rPr>
                <w:sz w:val="22"/>
                <w:szCs w:val="22"/>
                <w:lang w:val="ka-GE"/>
              </w:rPr>
            </w:pPr>
            <w:r w:rsidRPr="00F66A2D">
              <w:rPr>
                <w:sz w:val="22"/>
                <w:szCs w:val="22"/>
                <w:lang w:val="ka-GE"/>
              </w:rPr>
              <w:t>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ანალოგიურ პირობებში სრულ განაკვეთზე დასაქმებული პირის ნორმირებულ სამუშაო დროზე.</w:t>
            </w:r>
          </w:p>
          <w:p w:rsidR="001F3BF8" w:rsidRDefault="001F3BF8" w:rsidP="001F3BF8">
            <w:pPr>
              <w:pStyle w:val="BodyText"/>
              <w:spacing w:line="244" w:lineRule="auto"/>
              <w:ind w:right="108"/>
              <w:jc w:val="both"/>
              <w:rPr>
                <w:sz w:val="22"/>
                <w:szCs w:val="22"/>
                <w:lang w:val="ka-GE"/>
              </w:rPr>
            </w:pPr>
          </w:p>
          <w:p w:rsidR="001F3BF8" w:rsidRPr="00F66A2D" w:rsidRDefault="00997D7F" w:rsidP="001F3BF8">
            <w:pPr>
              <w:pStyle w:val="BodyText"/>
              <w:spacing w:line="244" w:lineRule="auto"/>
              <w:ind w:right="108"/>
              <w:jc w:val="both"/>
              <w:rPr>
                <w:sz w:val="22"/>
                <w:szCs w:val="22"/>
                <w:lang w:val="ka-GE"/>
              </w:rPr>
            </w:pPr>
            <w:r w:rsidRPr="00F66A2D">
              <w:rPr>
                <w:sz w:val="22"/>
                <w:szCs w:val="22"/>
                <w:lang w:val="ka-GE"/>
              </w:rPr>
              <w:t xml:space="preserve">შენიშვნა: </w:t>
            </w:r>
            <w:r>
              <w:rPr>
                <w:sz w:val="22"/>
                <w:szCs w:val="22"/>
                <w:lang w:val="ka-GE"/>
              </w:rPr>
              <w:t xml:space="preserve">ამ მუხლის მიზნებისათვის </w:t>
            </w:r>
            <w:r w:rsidRPr="00F66A2D">
              <w:rPr>
                <w:sz w:val="22"/>
                <w:szCs w:val="22"/>
                <w:lang w:val="ka-GE"/>
              </w:rPr>
              <w:t xml:space="preserve">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w:t>
            </w:r>
            <w:r w:rsidRPr="00F66A2D">
              <w:rPr>
                <w:sz w:val="22"/>
                <w:szCs w:val="22"/>
                <w:lang w:val="ka-GE"/>
              </w:rPr>
              <w:lastRenderedPageBreak/>
              <w:t>მიმართულებით, იმავე დეპარტამენტში ან სამსახურში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p>
          <w:p w:rsidR="001F3BF8" w:rsidRDefault="001F3BF8" w:rsidP="001F3BF8">
            <w:pPr>
              <w:pStyle w:val="BodyText"/>
              <w:spacing w:line="244" w:lineRule="auto"/>
              <w:ind w:right="108"/>
              <w:jc w:val="both"/>
              <w:rPr>
                <w:sz w:val="22"/>
                <w:szCs w:val="22"/>
                <w:lang w:val="ka-GE"/>
              </w:rPr>
            </w:pPr>
          </w:p>
          <w:p w:rsidR="001F3BF8" w:rsidRPr="00F66A2D" w:rsidRDefault="00997D7F" w:rsidP="001F3BF8">
            <w:pPr>
              <w:pStyle w:val="BodyText"/>
              <w:spacing w:line="244" w:lineRule="auto"/>
              <w:ind w:right="108"/>
              <w:jc w:val="both"/>
              <w:rPr>
                <w:sz w:val="22"/>
                <w:szCs w:val="22"/>
                <w:lang w:val="ka-GE"/>
              </w:rPr>
            </w:pPr>
            <w:r w:rsidRPr="00F66A2D">
              <w:rPr>
                <w:sz w:val="22"/>
                <w:szCs w:val="22"/>
                <w:lang w:val="ka-GE"/>
              </w:rPr>
              <w:t xml:space="preserve">აკრძალულია შრომით პირობებთან დაკავშირებით არარსრულ სამუშაო განაკვეთზე დასაქმებული პირის განსხვავებული მოპყრობა ანალოგიურ პირობებში სრულ განაკვეთზე დასაქმებულ პირთან შედარებით, მხოლოდ იმის გამო, რომ ეს პირი დასაქმებულია არასრულ სამუშაო განაკვეთზე, გარდა იმ შემთხვევისა როდესაც განსხვავებული მოპყრობა გამართლებულია ობიექტური </w:t>
            </w:r>
            <w:r w:rsidRPr="00F66A2D">
              <w:rPr>
                <w:sz w:val="22"/>
                <w:szCs w:val="22"/>
                <w:lang w:val="ka-GE"/>
              </w:rPr>
              <w:lastRenderedPageBreak/>
              <w:t>საფუძვლით.</w:t>
            </w:r>
            <w:r w:rsidR="001F3BF8" w:rsidRPr="00F66A2D">
              <w:rPr>
                <w:sz w:val="22"/>
                <w:szCs w:val="22"/>
                <w:lang w:val="ka-GE"/>
              </w:rPr>
              <w:t xml:space="preserve"> </w:t>
            </w:r>
          </w:p>
          <w:p w:rsidR="001F3BF8" w:rsidRDefault="001F3BF8" w:rsidP="00254CA3">
            <w:pPr>
              <w:jc w:val="both"/>
            </w:pPr>
          </w:p>
          <w:p w:rsidR="001F3BF8" w:rsidRDefault="001F3BF8" w:rsidP="00254CA3">
            <w:pPr>
              <w:jc w:val="both"/>
            </w:pPr>
          </w:p>
          <w:p w:rsidR="001F3BF8" w:rsidRPr="00254CA3" w:rsidRDefault="001F3BF8" w:rsidP="00997D7F">
            <w:pPr>
              <w:pStyle w:val="BodyText"/>
              <w:spacing w:line="244" w:lineRule="auto"/>
              <w:ind w:right="108"/>
              <w:jc w:val="both"/>
              <w:rPr>
                <w:rFonts w:cs="Sylfaen"/>
                <w:lang w:val="ka-GE"/>
              </w:rPr>
            </w:pPr>
            <w:r w:rsidRPr="00D312EA">
              <w:rPr>
                <w:rFonts w:cs="Sylfaen"/>
                <w:sz w:val="22"/>
                <w:szCs w:val="22"/>
              </w:rPr>
              <w:t>ამ</w:t>
            </w:r>
            <w:r w:rsidRPr="00D312EA">
              <w:rPr>
                <w:sz w:val="22"/>
                <w:szCs w:val="22"/>
              </w:rPr>
              <w:t xml:space="preserve"> </w:t>
            </w:r>
            <w:r w:rsidRPr="00D312EA">
              <w:rPr>
                <w:rFonts w:cs="Sylfaen"/>
                <w:sz w:val="22"/>
                <w:szCs w:val="22"/>
              </w:rPr>
              <w:t>კანონის</w:t>
            </w:r>
            <w:r w:rsidRPr="00D312EA">
              <w:rPr>
                <w:sz w:val="22"/>
                <w:szCs w:val="22"/>
              </w:rPr>
              <w:t xml:space="preserve"> </w:t>
            </w:r>
            <w:r w:rsidRPr="00D312EA">
              <w:rPr>
                <w:rFonts w:cs="Sylfaen"/>
                <w:sz w:val="22"/>
                <w:szCs w:val="22"/>
              </w:rPr>
              <w:t>მიზანია</w:t>
            </w:r>
            <w:r w:rsidRPr="00D312EA">
              <w:rPr>
                <w:sz w:val="22"/>
                <w:szCs w:val="22"/>
              </w:rPr>
              <w:t xml:space="preserve"> </w:t>
            </w:r>
            <w:r w:rsidRPr="00D312EA">
              <w:rPr>
                <w:rFonts w:cs="Sylfaen"/>
                <w:sz w:val="22"/>
                <w:szCs w:val="22"/>
              </w:rPr>
              <w:t>დისკრიმინაციის</w:t>
            </w:r>
            <w:r w:rsidRPr="00D312EA">
              <w:rPr>
                <w:sz w:val="22"/>
                <w:szCs w:val="22"/>
              </w:rPr>
              <w:t xml:space="preserve"> </w:t>
            </w:r>
            <w:r w:rsidRPr="00D312EA">
              <w:rPr>
                <w:rFonts w:cs="Sylfaen"/>
                <w:sz w:val="22"/>
                <w:szCs w:val="22"/>
              </w:rPr>
              <w:t>ყველა</w:t>
            </w:r>
            <w:r w:rsidRPr="00D312EA">
              <w:rPr>
                <w:sz w:val="22"/>
                <w:szCs w:val="22"/>
              </w:rPr>
              <w:t xml:space="preserve"> </w:t>
            </w:r>
            <w:r w:rsidRPr="00D312EA">
              <w:rPr>
                <w:rFonts w:cs="Sylfaen"/>
                <w:sz w:val="22"/>
                <w:szCs w:val="22"/>
              </w:rPr>
              <w:t>ფორმის</w:t>
            </w:r>
            <w:r w:rsidRPr="00D312EA">
              <w:rPr>
                <w:sz w:val="22"/>
                <w:szCs w:val="22"/>
              </w:rPr>
              <w:t xml:space="preserve"> </w:t>
            </w:r>
            <w:r w:rsidRPr="00D312EA">
              <w:rPr>
                <w:rFonts w:cs="Sylfaen"/>
                <w:sz w:val="22"/>
                <w:szCs w:val="22"/>
              </w:rPr>
              <w:t>აღმოფხვრა</w:t>
            </w:r>
            <w:r w:rsidRPr="00D312EA">
              <w:rPr>
                <w:sz w:val="22"/>
                <w:szCs w:val="22"/>
              </w:rPr>
              <w:t xml:space="preserve"> </w:t>
            </w:r>
            <w:r w:rsidRPr="00D312EA">
              <w:rPr>
                <w:rFonts w:cs="Sylfaen"/>
                <w:sz w:val="22"/>
                <w:szCs w:val="22"/>
              </w:rPr>
              <w:t>და</w:t>
            </w:r>
            <w:r w:rsidRPr="00D312EA">
              <w:rPr>
                <w:sz w:val="22"/>
                <w:szCs w:val="22"/>
              </w:rPr>
              <w:t xml:space="preserve"> </w:t>
            </w:r>
            <w:r w:rsidRPr="00D312EA">
              <w:rPr>
                <w:rFonts w:cs="Sylfaen"/>
                <w:sz w:val="22"/>
                <w:szCs w:val="22"/>
              </w:rPr>
              <w:t>ნებისმიერი</w:t>
            </w:r>
            <w:r w:rsidRPr="00D312EA">
              <w:rPr>
                <w:sz w:val="22"/>
                <w:szCs w:val="22"/>
              </w:rPr>
              <w:t xml:space="preserve"> </w:t>
            </w:r>
            <w:r w:rsidRPr="00D312EA">
              <w:rPr>
                <w:rFonts w:cs="Sylfaen"/>
                <w:sz w:val="22"/>
                <w:szCs w:val="22"/>
              </w:rPr>
              <w:t>ფიზიკური</w:t>
            </w:r>
            <w:r w:rsidRPr="00D312EA">
              <w:rPr>
                <w:sz w:val="22"/>
                <w:szCs w:val="22"/>
              </w:rPr>
              <w:t xml:space="preserve"> </w:t>
            </w:r>
            <w:r w:rsidRPr="00D312EA">
              <w:rPr>
                <w:rFonts w:cs="Sylfaen"/>
                <w:sz w:val="22"/>
                <w:szCs w:val="22"/>
              </w:rPr>
              <w:t>და</w:t>
            </w:r>
            <w:r w:rsidRPr="00D312EA">
              <w:rPr>
                <w:sz w:val="22"/>
                <w:szCs w:val="22"/>
              </w:rPr>
              <w:t xml:space="preserve"> </w:t>
            </w:r>
            <w:r w:rsidRPr="00D312EA">
              <w:rPr>
                <w:rFonts w:cs="Sylfaen"/>
                <w:sz w:val="22"/>
                <w:szCs w:val="22"/>
              </w:rPr>
              <w:t>იურიდიული</w:t>
            </w:r>
            <w:r w:rsidRPr="00D312EA">
              <w:rPr>
                <w:sz w:val="22"/>
                <w:szCs w:val="22"/>
              </w:rPr>
              <w:t xml:space="preserve"> </w:t>
            </w:r>
            <w:r w:rsidRPr="00D312EA">
              <w:rPr>
                <w:rFonts w:cs="Sylfaen"/>
                <w:sz w:val="22"/>
                <w:szCs w:val="22"/>
              </w:rPr>
              <w:t>პირისათვის</w:t>
            </w:r>
            <w:r w:rsidRPr="00D312EA">
              <w:rPr>
                <w:sz w:val="22"/>
                <w:szCs w:val="22"/>
              </w:rPr>
              <w:t xml:space="preserve"> </w:t>
            </w:r>
            <w:r w:rsidRPr="00D312EA">
              <w:rPr>
                <w:rFonts w:cs="Sylfaen"/>
                <w:sz w:val="22"/>
                <w:szCs w:val="22"/>
              </w:rPr>
              <w:t>საქართველოს</w:t>
            </w:r>
            <w:r w:rsidRPr="00D312EA">
              <w:rPr>
                <w:sz w:val="22"/>
                <w:szCs w:val="22"/>
              </w:rPr>
              <w:t xml:space="preserve"> </w:t>
            </w:r>
            <w:r w:rsidRPr="00D312EA">
              <w:rPr>
                <w:rFonts w:cs="Sylfaen"/>
                <w:sz w:val="22"/>
                <w:szCs w:val="22"/>
              </w:rPr>
              <w:t>კანონმდებლობით</w:t>
            </w:r>
            <w:r w:rsidRPr="00D312EA">
              <w:rPr>
                <w:sz w:val="22"/>
                <w:szCs w:val="22"/>
              </w:rPr>
              <w:t xml:space="preserve"> </w:t>
            </w:r>
            <w:r w:rsidRPr="00D312EA">
              <w:rPr>
                <w:rFonts w:cs="Sylfaen"/>
                <w:sz w:val="22"/>
                <w:szCs w:val="22"/>
              </w:rPr>
              <w:t>დადგენილი</w:t>
            </w:r>
            <w:r w:rsidRPr="00D312EA">
              <w:rPr>
                <w:sz w:val="22"/>
                <w:szCs w:val="22"/>
              </w:rPr>
              <w:t xml:space="preserve"> </w:t>
            </w:r>
            <w:r w:rsidRPr="00D312EA">
              <w:rPr>
                <w:rFonts w:cs="Sylfaen"/>
                <w:sz w:val="22"/>
                <w:szCs w:val="22"/>
              </w:rPr>
              <w:t>უფლებებით</w:t>
            </w:r>
            <w:r w:rsidRPr="00D312EA">
              <w:rPr>
                <w:sz w:val="22"/>
                <w:szCs w:val="22"/>
              </w:rPr>
              <w:t xml:space="preserve"> </w:t>
            </w:r>
            <w:r w:rsidRPr="00D312EA">
              <w:rPr>
                <w:rFonts w:cs="Sylfaen"/>
                <w:sz w:val="22"/>
                <w:szCs w:val="22"/>
              </w:rPr>
              <w:t>თანასწორად</w:t>
            </w:r>
            <w:r w:rsidRPr="00D312EA">
              <w:rPr>
                <w:sz w:val="22"/>
                <w:szCs w:val="22"/>
              </w:rPr>
              <w:t xml:space="preserve"> </w:t>
            </w:r>
            <w:r w:rsidRPr="00D312EA">
              <w:rPr>
                <w:rFonts w:cs="Sylfaen"/>
                <w:sz w:val="22"/>
                <w:szCs w:val="22"/>
              </w:rPr>
              <w:t>სარგებლობის</w:t>
            </w:r>
            <w:r w:rsidRPr="00D312EA">
              <w:rPr>
                <w:sz w:val="22"/>
                <w:szCs w:val="22"/>
              </w:rPr>
              <w:t xml:space="preserve"> </w:t>
            </w:r>
            <w:r w:rsidRPr="00D312EA">
              <w:rPr>
                <w:rFonts w:cs="Sylfaen"/>
                <w:sz w:val="22"/>
                <w:szCs w:val="22"/>
              </w:rPr>
              <w:t>უზრუნველყოფა</w:t>
            </w:r>
            <w:r w:rsidRPr="00D312EA">
              <w:rPr>
                <w:sz w:val="22"/>
                <w:szCs w:val="22"/>
              </w:rPr>
              <w:t xml:space="preserve">, </w:t>
            </w:r>
            <w:r w:rsidRPr="00D312EA">
              <w:rPr>
                <w:rFonts w:cs="Sylfaen"/>
                <w:sz w:val="22"/>
                <w:szCs w:val="22"/>
              </w:rPr>
              <w:t>რასის</w:t>
            </w:r>
            <w:r w:rsidRPr="00D312EA">
              <w:rPr>
                <w:sz w:val="22"/>
                <w:szCs w:val="22"/>
              </w:rPr>
              <w:t xml:space="preserve">, </w:t>
            </w:r>
            <w:r w:rsidRPr="00D312EA">
              <w:rPr>
                <w:rFonts w:cs="Sylfaen"/>
                <w:sz w:val="22"/>
                <w:szCs w:val="22"/>
              </w:rPr>
              <w:t>კანის</w:t>
            </w:r>
            <w:r w:rsidRPr="00D312EA">
              <w:rPr>
                <w:sz w:val="22"/>
                <w:szCs w:val="22"/>
              </w:rPr>
              <w:t xml:space="preserve"> </w:t>
            </w:r>
            <w:r w:rsidRPr="00D312EA">
              <w:rPr>
                <w:rFonts w:cs="Sylfaen"/>
                <w:sz w:val="22"/>
                <w:szCs w:val="22"/>
              </w:rPr>
              <w:t>ფერის</w:t>
            </w:r>
            <w:r w:rsidRPr="00D312EA">
              <w:rPr>
                <w:sz w:val="22"/>
                <w:szCs w:val="22"/>
              </w:rPr>
              <w:t xml:space="preserve">, </w:t>
            </w:r>
            <w:r w:rsidRPr="00D312EA">
              <w:rPr>
                <w:rFonts w:cs="Sylfaen"/>
                <w:sz w:val="22"/>
                <w:szCs w:val="22"/>
              </w:rPr>
              <w:t>ენის</w:t>
            </w:r>
            <w:r w:rsidRPr="00D312EA">
              <w:rPr>
                <w:sz w:val="22"/>
                <w:szCs w:val="22"/>
              </w:rPr>
              <w:t xml:space="preserve">, </w:t>
            </w:r>
            <w:r w:rsidRPr="00D312EA">
              <w:rPr>
                <w:rFonts w:cs="Sylfaen"/>
                <w:sz w:val="22"/>
                <w:szCs w:val="22"/>
              </w:rPr>
              <w:t>სქესის</w:t>
            </w:r>
            <w:r w:rsidRPr="00D312EA">
              <w:rPr>
                <w:sz w:val="22"/>
                <w:szCs w:val="22"/>
              </w:rPr>
              <w:t xml:space="preserve">, </w:t>
            </w:r>
            <w:r w:rsidRPr="00D312EA">
              <w:rPr>
                <w:rFonts w:cs="Sylfaen"/>
                <w:sz w:val="22"/>
                <w:szCs w:val="22"/>
              </w:rPr>
              <w:t>ასაკის</w:t>
            </w:r>
            <w:r w:rsidRPr="00D312EA">
              <w:rPr>
                <w:sz w:val="22"/>
                <w:szCs w:val="22"/>
              </w:rPr>
              <w:t xml:space="preserve">, </w:t>
            </w:r>
            <w:r w:rsidRPr="00D312EA">
              <w:rPr>
                <w:rFonts w:cs="Sylfaen"/>
                <w:sz w:val="22"/>
                <w:szCs w:val="22"/>
              </w:rPr>
              <w:t>მოქალაქეობის</w:t>
            </w:r>
            <w:r w:rsidRPr="00D312EA">
              <w:rPr>
                <w:sz w:val="22"/>
                <w:szCs w:val="22"/>
              </w:rPr>
              <w:t xml:space="preserve">, </w:t>
            </w:r>
            <w:r w:rsidRPr="00D312EA">
              <w:rPr>
                <w:rFonts w:cs="Sylfaen"/>
                <w:sz w:val="22"/>
                <w:szCs w:val="22"/>
              </w:rPr>
              <w:t>წარმოშობის</w:t>
            </w:r>
            <w:r w:rsidRPr="00D312EA">
              <w:rPr>
                <w:sz w:val="22"/>
                <w:szCs w:val="22"/>
              </w:rPr>
              <w:t xml:space="preserve">, </w:t>
            </w:r>
            <w:r w:rsidRPr="00D312EA">
              <w:rPr>
                <w:rFonts w:cs="Sylfaen"/>
                <w:sz w:val="22"/>
                <w:szCs w:val="22"/>
              </w:rPr>
              <w:t>დაბადების</w:t>
            </w:r>
            <w:r w:rsidRPr="00D312EA">
              <w:rPr>
                <w:sz w:val="22"/>
                <w:szCs w:val="22"/>
              </w:rPr>
              <w:t xml:space="preserve"> </w:t>
            </w:r>
            <w:r w:rsidRPr="00D312EA">
              <w:rPr>
                <w:rFonts w:cs="Sylfaen"/>
                <w:sz w:val="22"/>
                <w:szCs w:val="22"/>
              </w:rPr>
              <w:t>ადგილის</w:t>
            </w:r>
            <w:r w:rsidRPr="00D312EA">
              <w:rPr>
                <w:sz w:val="22"/>
                <w:szCs w:val="22"/>
              </w:rPr>
              <w:t xml:space="preserve">, </w:t>
            </w:r>
            <w:r w:rsidRPr="00D312EA">
              <w:rPr>
                <w:rFonts w:cs="Sylfaen"/>
                <w:sz w:val="22"/>
                <w:szCs w:val="22"/>
              </w:rPr>
              <w:t>საცხოვრებელი</w:t>
            </w:r>
            <w:r w:rsidRPr="00D312EA">
              <w:rPr>
                <w:sz w:val="22"/>
                <w:szCs w:val="22"/>
              </w:rPr>
              <w:t xml:space="preserve"> </w:t>
            </w:r>
            <w:r w:rsidRPr="00D312EA">
              <w:rPr>
                <w:rFonts w:cs="Sylfaen"/>
                <w:sz w:val="22"/>
                <w:szCs w:val="22"/>
              </w:rPr>
              <w:t>ადგილის</w:t>
            </w:r>
            <w:r w:rsidRPr="00D312EA">
              <w:rPr>
                <w:sz w:val="22"/>
                <w:szCs w:val="22"/>
              </w:rPr>
              <w:t xml:space="preserve">, </w:t>
            </w:r>
            <w:r w:rsidRPr="00D312EA">
              <w:rPr>
                <w:rFonts w:cs="Sylfaen"/>
                <w:sz w:val="22"/>
                <w:szCs w:val="22"/>
              </w:rPr>
              <w:t>ქონებრივი</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წოდებრივი</w:t>
            </w:r>
            <w:r w:rsidRPr="00D312EA">
              <w:rPr>
                <w:sz w:val="22"/>
                <w:szCs w:val="22"/>
              </w:rPr>
              <w:t xml:space="preserve"> </w:t>
            </w:r>
            <w:r w:rsidRPr="00D312EA">
              <w:rPr>
                <w:rFonts w:cs="Sylfaen"/>
                <w:sz w:val="22"/>
                <w:szCs w:val="22"/>
              </w:rPr>
              <w:t>მდგომარეობის</w:t>
            </w:r>
            <w:r w:rsidRPr="00D312EA">
              <w:rPr>
                <w:sz w:val="22"/>
                <w:szCs w:val="22"/>
              </w:rPr>
              <w:t xml:space="preserve">, </w:t>
            </w:r>
            <w:r w:rsidRPr="00D312EA">
              <w:rPr>
                <w:rFonts w:cs="Sylfaen"/>
                <w:sz w:val="22"/>
                <w:szCs w:val="22"/>
              </w:rPr>
              <w:t>რელიგიის</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რწმენის</w:t>
            </w:r>
            <w:r w:rsidRPr="00D312EA">
              <w:rPr>
                <w:sz w:val="22"/>
                <w:szCs w:val="22"/>
              </w:rPr>
              <w:t xml:space="preserve">, </w:t>
            </w:r>
            <w:r w:rsidRPr="00D312EA">
              <w:rPr>
                <w:rFonts w:cs="Sylfaen"/>
                <w:sz w:val="22"/>
                <w:szCs w:val="22"/>
              </w:rPr>
              <w:t>ეროვნული</w:t>
            </w:r>
            <w:r w:rsidRPr="00D312EA">
              <w:rPr>
                <w:sz w:val="22"/>
                <w:szCs w:val="22"/>
              </w:rPr>
              <w:t xml:space="preserve">, </w:t>
            </w:r>
            <w:r w:rsidRPr="00D312EA">
              <w:rPr>
                <w:rFonts w:cs="Sylfaen"/>
                <w:sz w:val="22"/>
                <w:szCs w:val="22"/>
              </w:rPr>
              <w:t>ეთნიკური</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სოციალური</w:t>
            </w:r>
            <w:r w:rsidRPr="00D312EA">
              <w:rPr>
                <w:sz w:val="22"/>
                <w:szCs w:val="22"/>
              </w:rPr>
              <w:t xml:space="preserve"> </w:t>
            </w:r>
            <w:r w:rsidRPr="00D312EA">
              <w:rPr>
                <w:rFonts w:cs="Sylfaen"/>
                <w:sz w:val="22"/>
                <w:szCs w:val="22"/>
              </w:rPr>
              <w:t>კუთვნილების</w:t>
            </w:r>
            <w:r w:rsidRPr="00D312EA">
              <w:rPr>
                <w:sz w:val="22"/>
                <w:szCs w:val="22"/>
              </w:rPr>
              <w:t xml:space="preserve">, </w:t>
            </w:r>
            <w:r w:rsidRPr="00D312EA">
              <w:rPr>
                <w:rFonts w:cs="Sylfaen"/>
                <w:sz w:val="22"/>
                <w:szCs w:val="22"/>
              </w:rPr>
              <w:t>პროფესიის</w:t>
            </w:r>
            <w:r w:rsidRPr="00D312EA">
              <w:rPr>
                <w:sz w:val="22"/>
                <w:szCs w:val="22"/>
              </w:rPr>
              <w:t xml:space="preserve">, </w:t>
            </w:r>
            <w:r w:rsidRPr="00D312EA">
              <w:rPr>
                <w:rFonts w:cs="Sylfaen"/>
                <w:sz w:val="22"/>
                <w:szCs w:val="22"/>
              </w:rPr>
              <w:t>ოჯახური</w:t>
            </w:r>
            <w:r w:rsidRPr="00D312EA">
              <w:rPr>
                <w:sz w:val="22"/>
                <w:szCs w:val="22"/>
              </w:rPr>
              <w:t xml:space="preserve"> </w:t>
            </w:r>
            <w:r w:rsidRPr="00D312EA">
              <w:rPr>
                <w:rFonts w:cs="Sylfaen"/>
                <w:sz w:val="22"/>
                <w:szCs w:val="22"/>
              </w:rPr>
              <w:t>მდგომარეობის</w:t>
            </w:r>
            <w:r w:rsidRPr="00D312EA">
              <w:rPr>
                <w:sz w:val="22"/>
                <w:szCs w:val="22"/>
              </w:rPr>
              <w:t xml:space="preserve">, </w:t>
            </w:r>
            <w:r w:rsidRPr="00D312EA">
              <w:rPr>
                <w:rFonts w:cs="Sylfaen"/>
                <w:sz w:val="22"/>
                <w:szCs w:val="22"/>
              </w:rPr>
              <w:t>ჯანმრთელობის</w:t>
            </w:r>
            <w:r w:rsidRPr="00D312EA">
              <w:rPr>
                <w:sz w:val="22"/>
                <w:szCs w:val="22"/>
              </w:rPr>
              <w:t xml:space="preserve"> </w:t>
            </w:r>
            <w:r w:rsidRPr="00D312EA">
              <w:rPr>
                <w:rFonts w:cs="Sylfaen"/>
                <w:sz w:val="22"/>
                <w:szCs w:val="22"/>
              </w:rPr>
              <w:t>მდგომარეობის</w:t>
            </w:r>
            <w:r w:rsidRPr="00D312EA">
              <w:rPr>
                <w:sz w:val="22"/>
                <w:szCs w:val="22"/>
              </w:rPr>
              <w:t xml:space="preserve">, </w:t>
            </w:r>
            <w:r w:rsidRPr="00D312EA">
              <w:rPr>
                <w:rFonts w:cs="Sylfaen"/>
                <w:sz w:val="22"/>
                <w:szCs w:val="22"/>
              </w:rPr>
              <w:t>შეზღუდული</w:t>
            </w:r>
            <w:r w:rsidRPr="00D312EA">
              <w:rPr>
                <w:sz w:val="22"/>
                <w:szCs w:val="22"/>
              </w:rPr>
              <w:t xml:space="preserve"> </w:t>
            </w:r>
            <w:r w:rsidRPr="00D312EA">
              <w:rPr>
                <w:rFonts w:cs="Sylfaen"/>
                <w:sz w:val="22"/>
                <w:szCs w:val="22"/>
              </w:rPr>
              <w:t>შესაძლებლობის</w:t>
            </w:r>
            <w:r w:rsidRPr="00D312EA">
              <w:rPr>
                <w:sz w:val="22"/>
                <w:szCs w:val="22"/>
              </w:rPr>
              <w:t xml:space="preserve">, </w:t>
            </w:r>
            <w:r w:rsidRPr="00D312EA">
              <w:rPr>
                <w:rFonts w:cs="Sylfaen"/>
                <w:sz w:val="22"/>
                <w:szCs w:val="22"/>
              </w:rPr>
              <w:t>სექსუალური</w:t>
            </w:r>
            <w:r w:rsidRPr="00D312EA">
              <w:rPr>
                <w:sz w:val="22"/>
                <w:szCs w:val="22"/>
              </w:rPr>
              <w:t xml:space="preserve"> </w:t>
            </w:r>
            <w:r w:rsidRPr="00D312EA">
              <w:rPr>
                <w:rFonts w:cs="Sylfaen"/>
                <w:sz w:val="22"/>
                <w:szCs w:val="22"/>
              </w:rPr>
              <w:t>ორიენტაციის</w:t>
            </w:r>
            <w:r w:rsidRPr="00D312EA">
              <w:rPr>
                <w:sz w:val="22"/>
                <w:szCs w:val="22"/>
              </w:rPr>
              <w:t xml:space="preserve">, </w:t>
            </w:r>
            <w:r w:rsidRPr="00D312EA">
              <w:rPr>
                <w:rFonts w:cs="Sylfaen"/>
                <w:sz w:val="22"/>
                <w:szCs w:val="22"/>
              </w:rPr>
              <w:t>გენდერული</w:t>
            </w:r>
            <w:r w:rsidRPr="00D312EA">
              <w:rPr>
                <w:sz w:val="22"/>
                <w:szCs w:val="22"/>
              </w:rPr>
              <w:t xml:space="preserve"> </w:t>
            </w:r>
            <w:r w:rsidRPr="00D312EA">
              <w:rPr>
                <w:rFonts w:cs="Sylfaen"/>
                <w:sz w:val="22"/>
                <w:szCs w:val="22"/>
              </w:rPr>
              <w:t>იდენტობისა</w:t>
            </w:r>
            <w:r w:rsidRPr="00D312EA">
              <w:rPr>
                <w:sz w:val="22"/>
                <w:szCs w:val="22"/>
              </w:rPr>
              <w:t xml:space="preserve"> </w:t>
            </w:r>
            <w:r w:rsidRPr="00D312EA">
              <w:rPr>
                <w:rFonts w:cs="Sylfaen"/>
                <w:sz w:val="22"/>
                <w:szCs w:val="22"/>
              </w:rPr>
              <w:t>და</w:t>
            </w:r>
            <w:r w:rsidRPr="00D312EA">
              <w:rPr>
                <w:sz w:val="22"/>
                <w:szCs w:val="22"/>
              </w:rPr>
              <w:t xml:space="preserve"> </w:t>
            </w:r>
            <w:r w:rsidRPr="00D312EA">
              <w:rPr>
                <w:rFonts w:cs="Sylfaen"/>
                <w:sz w:val="22"/>
                <w:szCs w:val="22"/>
              </w:rPr>
              <w:t>გამოხატვის</w:t>
            </w:r>
            <w:r w:rsidRPr="00D312EA">
              <w:rPr>
                <w:sz w:val="22"/>
                <w:szCs w:val="22"/>
              </w:rPr>
              <w:t xml:space="preserve">, </w:t>
            </w:r>
            <w:r w:rsidRPr="00D312EA">
              <w:rPr>
                <w:rFonts w:cs="Sylfaen"/>
                <w:sz w:val="22"/>
                <w:szCs w:val="22"/>
              </w:rPr>
              <w:t>პოლიტიკური</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სხვა</w:t>
            </w:r>
            <w:r w:rsidRPr="00D312EA">
              <w:rPr>
                <w:sz w:val="22"/>
                <w:szCs w:val="22"/>
              </w:rPr>
              <w:t xml:space="preserve"> </w:t>
            </w:r>
            <w:r w:rsidRPr="00D312EA">
              <w:rPr>
                <w:rFonts w:cs="Sylfaen"/>
                <w:sz w:val="22"/>
                <w:szCs w:val="22"/>
              </w:rPr>
              <w:t>შეხედულების</w:t>
            </w:r>
            <w:r w:rsidRPr="00D312EA">
              <w:rPr>
                <w:sz w:val="22"/>
                <w:szCs w:val="22"/>
              </w:rPr>
              <w:t xml:space="preserve"> </w:t>
            </w:r>
            <w:r w:rsidRPr="00D312EA">
              <w:rPr>
                <w:rFonts w:cs="Sylfaen"/>
                <w:sz w:val="22"/>
                <w:szCs w:val="22"/>
              </w:rPr>
              <w:t>ან</w:t>
            </w:r>
            <w:r w:rsidRPr="00D312EA">
              <w:rPr>
                <w:sz w:val="22"/>
                <w:szCs w:val="22"/>
              </w:rPr>
              <w:t xml:space="preserve"> </w:t>
            </w:r>
            <w:r w:rsidRPr="00D312EA">
              <w:rPr>
                <w:rFonts w:cs="Sylfaen"/>
                <w:sz w:val="22"/>
                <w:szCs w:val="22"/>
              </w:rPr>
              <w:t>სხვა</w:t>
            </w:r>
            <w:r w:rsidRPr="00D312EA">
              <w:rPr>
                <w:sz w:val="22"/>
                <w:szCs w:val="22"/>
              </w:rPr>
              <w:t xml:space="preserve"> </w:t>
            </w:r>
            <w:r w:rsidRPr="00D312EA">
              <w:rPr>
                <w:rFonts w:cs="Sylfaen"/>
                <w:sz w:val="22"/>
                <w:szCs w:val="22"/>
              </w:rPr>
              <w:t>ნიშნის</w:t>
            </w:r>
            <w:r w:rsidRPr="00D312EA">
              <w:rPr>
                <w:sz w:val="22"/>
                <w:szCs w:val="22"/>
              </w:rPr>
              <w:t xml:space="preserve"> </w:t>
            </w:r>
            <w:r w:rsidRPr="00D312EA">
              <w:rPr>
                <w:rFonts w:cs="Sylfaen"/>
                <w:sz w:val="22"/>
                <w:szCs w:val="22"/>
              </w:rPr>
              <w:t>მიუხედავად</w:t>
            </w:r>
            <w:r w:rsidRPr="00D312EA">
              <w:rPr>
                <w:sz w:val="22"/>
                <w:szCs w:val="22"/>
              </w:rPr>
              <w:t xml:space="preserve">. </w:t>
            </w:r>
          </w:p>
        </w:tc>
        <w:tc>
          <w:tcPr>
            <w:tcW w:w="630" w:type="dxa"/>
          </w:tcPr>
          <w:p w:rsidR="00235522" w:rsidRDefault="001F3BF8" w:rsidP="00381570">
            <w:pPr>
              <w:jc w:val="both"/>
              <w:rPr>
                <w:rFonts w:ascii="Sylfaen" w:hAnsi="Sylfaen"/>
                <w:lang w:val="ka-GE"/>
              </w:rPr>
            </w:pPr>
            <w:r>
              <w:rPr>
                <w:rFonts w:ascii="Sylfaen" w:hAnsi="Sylfaen"/>
                <w:lang w:val="ka-GE"/>
              </w:rPr>
              <w:lastRenderedPageBreak/>
              <w:t>ს</w:t>
            </w:r>
            <w:r w:rsidR="005474C6">
              <w:rPr>
                <w:rFonts w:ascii="Sylfaen" w:hAnsi="Sylfaen"/>
                <w:lang w:val="ka-GE"/>
              </w:rPr>
              <w:t>შ</w:t>
            </w:r>
          </w:p>
        </w:tc>
        <w:tc>
          <w:tcPr>
            <w:tcW w:w="4950" w:type="dxa"/>
          </w:tcPr>
          <w:p w:rsidR="005474C6" w:rsidRDefault="001D41CE" w:rsidP="007A63B3">
            <w:pPr>
              <w:jc w:val="both"/>
              <w:rPr>
                <w:rFonts w:ascii="Sylfaen" w:hAnsi="Sylfaen"/>
                <w:lang w:val="ka-GE"/>
              </w:rPr>
            </w:pPr>
            <w:r>
              <w:rPr>
                <w:rFonts w:ascii="Sylfaen" w:hAnsi="Sylfaen"/>
                <w:lang w:val="ka-GE"/>
              </w:rPr>
              <w:t>წარმოდგენილი კანონპროექტი და არსებული კანონმდებლობა კრძალავს დისკრიმინაციულ მოპყრობას, მათ შორის, არასრულ სამუშაო განაკვეთზე მომუშავე დასაქმებულთა. მიმართებ</w:t>
            </w:r>
            <w:r w:rsidR="005923E0">
              <w:rPr>
                <w:rFonts w:ascii="Sylfaen" w:hAnsi="Sylfaen"/>
                <w:lang w:val="ka-GE"/>
              </w:rPr>
              <w:t>ითაც</w:t>
            </w:r>
            <w:r>
              <w:rPr>
                <w:rFonts w:ascii="Sylfaen" w:hAnsi="Sylfaen"/>
                <w:lang w:val="ka-GE"/>
              </w:rPr>
              <w:t xml:space="preserve">. </w:t>
            </w:r>
          </w:p>
          <w:p w:rsidR="001D41CE" w:rsidRDefault="001D41CE" w:rsidP="007A63B3">
            <w:pPr>
              <w:jc w:val="both"/>
              <w:rPr>
                <w:rFonts w:ascii="Sylfaen" w:hAnsi="Sylfaen"/>
                <w:lang w:val="ka-GE"/>
              </w:rPr>
            </w:pPr>
            <w:r>
              <w:rPr>
                <w:rFonts w:ascii="Sylfaen" w:hAnsi="Sylfaen"/>
                <w:lang w:val="ka-GE"/>
              </w:rPr>
              <w:t xml:space="preserve">გარდა ამისა, კანონპროექტი გვთავაზობს არასრული სამუშაო გრაფიკით დასაქმების </w:t>
            </w:r>
            <w:r>
              <w:rPr>
                <w:rFonts w:ascii="Sylfaen" w:hAnsi="Sylfaen"/>
                <w:lang w:val="ka-GE"/>
              </w:rPr>
              <w:lastRenderedPageBreak/>
              <w:t>რეგულირებას.</w:t>
            </w:r>
          </w:p>
          <w:p w:rsidR="001D41CE" w:rsidRDefault="001D41CE" w:rsidP="007A63B3">
            <w:pPr>
              <w:jc w:val="both"/>
              <w:rPr>
                <w:rFonts w:ascii="Sylfaen" w:hAnsi="Sylfaen"/>
                <w:lang w:val="ka-GE"/>
              </w:rPr>
            </w:pPr>
          </w:p>
          <w:p w:rsidR="001D41CE" w:rsidRDefault="001D41CE" w:rsidP="007A63B3">
            <w:pPr>
              <w:jc w:val="both"/>
              <w:rPr>
                <w:rFonts w:ascii="Sylfaen" w:hAnsi="Sylfaen"/>
                <w:lang w:val="ka-GE"/>
              </w:rPr>
            </w:pPr>
            <w:r>
              <w:rPr>
                <w:rFonts w:ascii="Sylfaen" w:hAnsi="Sylfaen"/>
                <w:lang w:val="ka-GE"/>
              </w:rPr>
              <w:t xml:space="preserve"> </w:t>
            </w:r>
          </w:p>
        </w:tc>
      </w:tr>
      <w:tr w:rsidR="00235522" w:rsidRPr="00381570" w:rsidTr="00997D7F">
        <w:tc>
          <w:tcPr>
            <w:tcW w:w="918" w:type="dxa"/>
          </w:tcPr>
          <w:p w:rsidR="00235522" w:rsidRDefault="00CA3A66" w:rsidP="00901781">
            <w:pPr>
              <w:jc w:val="both"/>
              <w:rPr>
                <w:rFonts w:ascii="Sylfaen" w:hAnsi="Sylfaen"/>
                <w:lang w:val="ka-GE"/>
              </w:rPr>
            </w:pPr>
            <w:r>
              <w:rPr>
                <w:rFonts w:ascii="Sylfaen" w:hAnsi="Sylfaen"/>
                <w:lang w:val="ka-GE"/>
              </w:rPr>
              <w:lastRenderedPageBreak/>
              <w:t>2.1.</w:t>
            </w: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Default="00CA3A66" w:rsidP="00901781">
            <w:pPr>
              <w:jc w:val="both"/>
              <w:rPr>
                <w:rFonts w:ascii="Sylfaen" w:hAnsi="Sylfaen"/>
                <w:lang w:val="ka-GE"/>
              </w:rPr>
            </w:pPr>
          </w:p>
          <w:p w:rsidR="00CA3A66" w:rsidRPr="00AB74DE" w:rsidRDefault="00CA3A66" w:rsidP="00901781">
            <w:pPr>
              <w:jc w:val="both"/>
              <w:rPr>
                <w:rFonts w:ascii="Sylfaen" w:hAnsi="Sylfaen"/>
              </w:rPr>
            </w:pPr>
          </w:p>
        </w:tc>
        <w:tc>
          <w:tcPr>
            <w:tcW w:w="2037" w:type="dxa"/>
          </w:tcPr>
          <w:p w:rsidR="00235522" w:rsidRPr="00AB74DE" w:rsidRDefault="00CA3A66" w:rsidP="00AB74DE">
            <w:pPr>
              <w:jc w:val="both"/>
              <w:rPr>
                <w:rFonts w:ascii="Sylfaen" w:hAnsi="Sylfaen"/>
              </w:rPr>
            </w:pPr>
            <w:r w:rsidRPr="00CA3A66">
              <w:rPr>
                <w:rFonts w:ascii="Sylfaen" w:hAnsi="Sylfaen"/>
                <w:lang w:val="ka-GE"/>
              </w:rPr>
              <w:t xml:space="preserve">წინამდებარე შეთანხმება ძალაშია არასრულ სამუშაო განაკვეთზე დასაქმებულთა მიმართ, რომლებსაც კანონმდებლობით, </w:t>
            </w:r>
            <w:r>
              <w:rPr>
                <w:rFonts w:ascii="Sylfaen" w:hAnsi="Sylfaen"/>
                <w:lang w:val="ka-GE"/>
              </w:rPr>
              <w:t>კოლექტიური</w:t>
            </w:r>
            <w:r w:rsidRPr="00CA3A66">
              <w:rPr>
                <w:rFonts w:ascii="Sylfaen" w:hAnsi="Sylfaen"/>
                <w:lang w:val="ka-GE"/>
              </w:rPr>
              <w:t xml:space="preserve"> ხელშეკრულებებით ან პრაქტიკით შესაბამის წევრ სახელმწიფოში გააჩნიათ შრომითი ხელშეკრულება ან არიან შრომით ურთიერთობაში.</w:t>
            </w:r>
          </w:p>
        </w:tc>
        <w:tc>
          <w:tcPr>
            <w:tcW w:w="357" w:type="dxa"/>
          </w:tcPr>
          <w:p w:rsidR="00235522" w:rsidRPr="001D41CE" w:rsidRDefault="001D41CE" w:rsidP="00381570">
            <w:pPr>
              <w:jc w:val="both"/>
              <w:rPr>
                <w:rFonts w:ascii="Sylfaen" w:hAnsi="Sylfaen"/>
                <w:lang w:val="ka-GE"/>
              </w:rPr>
            </w:pPr>
            <w:r>
              <w:rPr>
                <w:rFonts w:ascii="Sylfaen" w:hAnsi="Sylfaen"/>
                <w:lang w:val="ka-GE"/>
              </w:rPr>
              <w:t>1</w:t>
            </w:r>
          </w:p>
        </w:tc>
        <w:tc>
          <w:tcPr>
            <w:tcW w:w="666" w:type="dxa"/>
          </w:tcPr>
          <w:p w:rsidR="00235522" w:rsidRPr="001D41CE" w:rsidRDefault="001D41CE" w:rsidP="00381570">
            <w:pPr>
              <w:jc w:val="both"/>
              <w:rPr>
                <w:rFonts w:ascii="Sylfaen" w:hAnsi="Sylfaen"/>
                <w:lang w:val="ka-GE"/>
              </w:rPr>
            </w:pPr>
            <w:r>
              <w:rPr>
                <w:rFonts w:ascii="Sylfaen" w:hAnsi="Sylfaen"/>
                <w:lang w:val="ka-GE"/>
              </w:rPr>
              <w:t>1.1</w:t>
            </w:r>
          </w:p>
        </w:tc>
        <w:tc>
          <w:tcPr>
            <w:tcW w:w="3420" w:type="dxa"/>
          </w:tcPr>
          <w:p w:rsidR="00235522" w:rsidRPr="00254CA3" w:rsidRDefault="001D41CE" w:rsidP="00254CA3">
            <w:pPr>
              <w:jc w:val="both"/>
              <w:rPr>
                <w:rFonts w:ascii="Sylfaen" w:hAnsi="Sylfaen" w:cs="Sylfaen"/>
                <w:lang w:val="ka-GE"/>
              </w:rPr>
            </w:pPr>
            <w:r w:rsidRPr="00F830F9">
              <w:rPr>
                <w:rFonts w:ascii="Sylfaen" w:hAnsi="Sylfaen"/>
                <w:lang w:val="ka-GE"/>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tc>
        <w:tc>
          <w:tcPr>
            <w:tcW w:w="630" w:type="dxa"/>
          </w:tcPr>
          <w:p w:rsidR="00235522" w:rsidRDefault="001D41CE" w:rsidP="00381570">
            <w:pPr>
              <w:jc w:val="both"/>
              <w:rPr>
                <w:rFonts w:ascii="Sylfaen" w:hAnsi="Sylfaen"/>
                <w:lang w:val="ka-GE"/>
              </w:rPr>
            </w:pPr>
            <w:r>
              <w:rPr>
                <w:rFonts w:ascii="Sylfaen" w:hAnsi="Sylfaen"/>
                <w:lang w:val="ka-GE"/>
              </w:rPr>
              <w:t>ს</w:t>
            </w:r>
            <w:r w:rsidR="00CA3A66">
              <w:rPr>
                <w:rFonts w:ascii="Sylfaen" w:hAnsi="Sylfaen"/>
                <w:lang w:val="ka-GE"/>
              </w:rPr>
              <w:t>შ</w:t>
            </w:r>
          </w:p>
        </w:tc>
        <w:tc>
          <w:tcPr>
            <w:tcW w:w="4950" w:type="dxa"/>
          </w:tcPr>
          <w:p w:rsidR="00235522" w:rsidRDefault="001D41CE" w:rsidP="00CF64F8">
            <w:pPr>
              <w:jc w:val="both"/>
              <w:rPr>
                <w:rFonts w:ascii="Sylfaen" w:hAnsi="Sylfaen"/>
                <w:lang w:val="ka-GE"/>
              </w:rPr>
            </w:pPr>
            <w:r>
              <w:rPr>
                <w:rFonts w:ascii="Sylfaen" w:hAnsi="Sylfaen"/>
                <w:lang w:val="ka-GE"/>
              </w:rPr>
              <w:t>წარმოდგენილი კანონპროექტი ვრცელდება საქართველოს ტერიტორიაზე არსებულ შრომით ურთიერთობებზე ყოველგვარი გამონაკლისის გარეშე.</w:t>
            </w:r>
          </w:p>
        </w:tc>
      </w:tr>
      <w:tr w:rsidR="00AB74DE" w:rsidRPr="00381570" w:rsidTr="00997D7F">
        <w:tc>
          <w:tcPr>
            <w:tcW w:w="918" w:type="dxa"/>
          </w:tcPr>
          <w:p w:rsidR="00AB74DE" w:rsidRDefault="00AB74DE" w:rsidP="00901781">
            <w:pPr>
              <w:jc w:val="both"/>
              <w:rPr>
                <w:rFonts w:ascii="Sylfaen" w:hAnsi="Sylfaen"/>
                <w:lang w:val="ka-GE"/>
              </w:rPr>
            </w:pPr>
            <w:r>
              <w:rPr>
                <w:rFonts w:ascii="Sylfaen" w:hAnsi="Sylfaen"/>
                <w:lang w:val="ka-GE"/>
              </w:rPr>
              <w:t>2.2.</w:t>
            </w:r>
          </w:p>
        </w:tc>
        <w:tc>
          <w:tcPr>
            <w:tcW w:w="2037" w:type="dxa"/>
          </w:tcPr>
          <w:p w:rsidR="00AB74DE" w:rsidRPr="00AB74DE" w:rsidRDefault="00AB74DE" w:rsidP="00CA3A66">
            <w:pPr>
              <w:jc w:val="both"/>
              <w:rPr>
                <w:rFonts w:ascii="Sylfaen" w:hAnsi="Sylfaen"/>
              </w:rPr>
            </w:pPr>
            <w:r w:rsidRPr="00CA3A66">
              <w:rPr>
                <w:rFonts w:ascii="Sylfaen" w:hAnsi="Sylfaen"/>
                <w:lang w:val="ka-GE"/>
              </w:rPr>
              <w:t xml:space="preserve">სოციალური პარტნიორებთან კონსულტაციის შემდეგ ცალკეული სახელმწიფოებრივი კანონმდებლობის, </w:t>
            </w:r>
            <w:r>
              <w:rPr>
                <w:rFonts w:ascii="Sylfaen" w:hAnsi="Sylfaen"/>
                <w:lang w:val="ka-GE"/>
              </w:rPr>
              <w:t>კოლექტიური</w:t>
            </w:r>
            <w:r w:rsidRPr="00CA3A66">
              <w:rPr>
                <w:rFonts w:ascii="Sylfaen" w:hAnsi="Sylfaen"/>
                <w:lang w:val="ka-GE"/>
              </w:rPr>
              <w:t xml:space="preserve"> ხელშეკრულებების ან პრაქტიკის შესაბამისად წევრ </w:t>
            </w:r>
            <w:r w:rsidRPr="00CA3A66">
              <w:rPr>
                <w:rFonts w:ascii="Sylfaen" w:hAnsi="Sylfaen"/>
                <w:lang w:val="ka-GE"/>
              </w:rPr>
              <w:lastRenderedPageBreak/>
              <w:t xml:space="preserve">სახელმწიფოებს და/ან სოციალური პარტნიორებს შეუძლიათ შესაბამის დონეზე შრომითი ურთიერთობის სფეროში არსებული ცალკეული პრაქტიკის შესაბამისად ობიექტური მიზეზებით გამორიცხონ მთლიანად ან ნაწილობრივ ის არასრულ სამუშაო განაკვეთზე დასაქმებულები, რომლებიც მხოლოდ პერიოდულად მუშაობენ. ეს გამონაკლისი შემდგომში რეგულარულად უნდა გადამოწმდეს, </w:t>
            </w:r>
            <w:r w:rsidRPr="00CA3A66">
              <w:rPr>
                <w:rFonts w:ascii="Sylfaen" w:hAnsi="Sylfaen"/>
                <w:lang w:val="ka-GE"/>
              </w:rPr>
              <w:lastRenderedPageBreak/>
              <w:t>რათა დადგინდეს, არსებობს თუ არა კიდევ ის ობიექტური მიზეზები, რომლებსაც ის ეფუძნება.</w:t>
            </w:r>
          </w:p>
        </w:tc>
        <w:tc>
          <w:tcPr>
            <w:tcW w:w="357" w:type="dxa"/>
          </w:tcPr>
          <w:p w:rsidR="00AB74DE" w:rsidRPr="00997D7F" w:rsidRDefault="00AB74DE" w:rsidP="00381570">
            <w:pPr>
              <w:jc w:val="both"/>
              <w:rPr>
                <w:rFonts w:ascii="Sylfaen" w:hAnsi="Sylfaen"/>
                <w:lang w:val="ka-GE"/>
              </w:rPr>
            </w:pPr>
          </w:p>
        </w:tc>
        <w:tc>
          <w:tcPr>
            <w:tcW w:w="666" w:type="dxa"/>
          </w:tcPr>
          <w:p w:rsidR="00AB74DE" w:rsidRPr="00997D7F" w:rsidRDefault="00AB74DE" w:rsidP="00381570">
            <w:pPr>
              <w:jc w:val="both"/>
              <w:rPr>
                <w:rFonts w:ascii="Sylfaen" w:hAnsi="Sylfaen"/>
                <w:lang w:val="ka-GE"/>
              </w:rPr>
            </w:pPr>
          </w:p>
        </w:tc>
        <w:tc>
          <w:tcPr>
            <w:tcW w:w="3420" w:type="dxa"/>
          </w:tcPr>
          <w:p w:rsidR="00AB74DE" w:rsidRPr="00966BC6" w:rsidRDefault="00AB74DE" w:rsidP="00254CA3">
            <w:pPr>
              <w:jc w:val="both"/>
              <w:rPr>
                <w:rFonts w:ascii="Sylfaen" w:hAnsi="Sylfaen"/>
                <w:lang w:val="ka-GE"/>
              </w:rPr>
            </w:pPr>
          </w:p>
        </w:tc>
        <w:tc>
          <w:tcPr>
            <w:tcW w:w="630" w:type="dxa"/>
          </w:tcPr>
          <w:p w:rsidR="00AB74DE" w:rsidRDefault="00966BC6" w:rsidP="00966BC6">
            <w:pPr>
              <w:jc w:val="both"/>
              <w:rPr>
                <w:rFonts w:ascii="Sylfaen" w:hAnsi="Sylfaen"/>
                <w:lang w:val="ka-GE"/>
              </w:rPr>
            </w:pPr>
            <w:r>
              <w:rPr>
                <w:rFonts w:ascii="Sylfaen" w:hAnsi="Sylfaen"/>
                <w:lang w:val="ka-GE"/>
              </w:rPr>
              <w:t>სშ</w:t>
            </w:r>
          </w:p>
        </w:tc>
        <w:tc>
          <w:tcPr>
            <w:tcW w:w="4950" w:type="dxa"/>
          </w:tcPr>
          <w:p w:rsidR="00AB74DE" w:rsidRDefault="00997D7F" w:rsidP="00997D7F">
            <w:pPr>
              <w:pStyle w:val="BodyText"/>
              <w:spacing w:line="244" w:lineRule="auto"/>
              <w:ind w:right="108"/>
              <w:jc w:val="both"/>
              <w:rPr>
                <w:lang w:val="ka-GE"/>
              </w:rPr>
            </w:pPr>
            <w:r>
              <w:rPr>
                <w:lang w:val="ka-GE"/>
              </w:rPr>
              <w:t xml:space="preserve">კანონპროექტი დირექტივასთნ შედარებით აღიარებს დაცვის უფრო მაღალ სტანდარტს და არ ითვალისწინებს გამონაკლისი რეგულაციების განსაზღვრის შესაძლებლობას, გარდა მე–16.5 მუხლისა, რომლის თანახმადაც </w:t>
            </w:r>
            <w:r>
              <w:rPr>
                <w:sz w:val="22"/>
                <w:szCs w:val="22"/>
                <w:lang w:val="ka-GE"/>
              </w:rPr>
              <w:t xml:space="preserve">ერთზე მეტი შეთავსებით მუშაობისთვის რისკის შემცველი პროფესიების შემთხვევაში </w:t>
            </w:r>
            <w:r w:rsidRPr="006A64AC">
              <w:rPr>
                <w:sz w:val="22"/>
                <w:szCs w:val="22"/>
                <w:lang w:val="ka-GE"/>
              </w:rPr>
              <w:t xml:space="preserve"> </w:t>
            </w:r>
            <w:r>
              <w:rPr>
                <w:sz w:val="22"/>
                <w:szCs w:val="22"/>
                <w:lang w:val="ka-GE"/>
              </w:rPr>
              <w:t xml:space="preserve">აკრძალულია ერთზე მეტ სრულ ან/და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w:t>
            </w:r>
            <w:r>
              <w:rPr>
                <w:sz w:val="22"/>
                <w:szCs w:val="22"/>
                <w:lang w:val="ka-GE"/>
              </w:rPr>
              <w:lastRenderedPageBreak/>
              <w:t xml:space="preserve">(შეთავსებით) ჯამურად ირღვევა V თავით დადგენილი სამუშაო დროის სტანდარტი. </w:t>
            </w:r>
            <w:r w:rsidRPr="007A38C1">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Pr="002B5E9C">
              <w:rPr>
                <w:rFonts w:ascii="Helvetica" w:eastAsia="Times New Roman" w:hAnsi="Helvetica" w:cs="Helvetica"/>
                <w:color w:val="333333"/>
                <w:sz w:val="17"/>
                <w:szCs w:val="17"/>
              </w:rPr>
              <w:t xml:space="preserve"> </w:t>
            </w:r>
            <w:r>
              <w:rPr>
                <w:sz w:val="22"/>
                <w:szCs w:val="22"/>
                <w:lang w:val="ka-GE"/>
              </w:rPr>
              <w:t xml:space="preserve">ერთზე მეტი შეთავსებით მუშაობისთვის რისკის შემცველი პროფესიების </w:t>
            </w:r>
            <w:r w:rsidRPr="006A64AC">
              <w:rPr>
                <w:sz w:val="22"/>
                <w:szCs w:val="22"/>
                <w:lang w:val="ka-GE"/>
              </w:rPr>
              <w:t xml:space="preserve"> </w:t>
            </w:r>
            <w:r>
              <w:rPr>
                <w:sz w:val="22"/>
                <w:szCs w:val="22"/>
                <w:lang w:val="ka-GE"/>
              </w:rPr>
              <w:t xml:space="preserve">ჩამონათვალს. შენიშვნა: აღნიშნული ნორმის დარღვევისათვის პასუხისმგებლობა ეკისრება  შესაბამისი პროფესიის ფარგლებში </w:t>
            </w:r>
            <w:r w:rsidRPr="006A64AC">
              <w:rPr>
                <w:sz w:val="22"/>
                <w:szCs w:val="22"/>
                <w:lang w:val="ka-GE"/>
              </w:rPr>
              <w:t>მეორე ან/და შემდეგ სრულ ან/და არასრულ სამუშაო განაკვეთზე დასაქმებული პირის</w:t>
            </w:r>
            <w:r>
              <w:rPr>
                <w:sz w:val="22"/>
                <w:szCs w:val="22"/>
                <w:lang w:val="ka-GE"/>
              </w:rPr>
              <w:t xml:space="preserve"> დამსაქმებელს.</w:t>
            </w:r>
          </w:p>
        </w:tc>
      </w:tr>
      <w:tr w:rsidR="00A45F51" w:rsidRPr="00381570" w:rsidTr="00997D7F">
        <w:tc>
          <w:tcPr>
            <w:tcW w:w="918" w:type="dxa"/>
          </w:tcPr>
          <w:p w:rsidR="00191B05" w:rsidRDefault="007C3F40" w:rsidP="00191B05">
            <w:pPr>
              <w:jc w:val="both"/>
              <w:rPr>
                <w:rFonts w:ascii="Sylfaen" w:hAnsi="Sylfaen"/>
                <w:lang w:val="ka-GE"/>
              </w:rPr>
            </w:pPr>
            <w:r>
              <w:rPr>
                <w:rFonts w:ascii="Sylfaen" w:hAnsi="Sylfaen"/>
                <w:lang w:val="ka-GE"/>
              </w:rPr>
              <w:lastRenderedPageBreak/>
              <w:t xml:space="preserve">3.1. </w:t>
            </w: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91B05" w:rsidRDefault="00191B05" w:rsidP="00191B05">
            <w:pPr>
              <w:jc w:val="both"/>
              <w:rPr>
                <w:rFonts w:ascii="Sylfaen" w:hAnsi="Sylfaen"/>
                <w:lang w:val="ka-GE"/>
              </w:rPr>
            </w:pPr>
          </w:p>
          <w:p w:rsidR="001D41CE" w:rsidRDefault="001D41CE" w:rsidP="00191B05">
            <w:pPr>
              <w:jc w:val="both"/>
              <w:rPr>
                <w:rFonts w:ascii="Sylfaen" w:hAnsi="Sylfaen"/>
                <w:lang w:val="ka-GE"/>
              </w:rPr>
            </w:pPr>
          </w:p>
          <w:p w:rsidR="003F23EB" w:rsidRPr="00340AED" w:rsidRDefault="003F23EB" w:rsidP="00191B05">
            <w:pPr>
              <w:jc w:val="both"/>
              <w:rPr>
                <w:rFonts w:ascii="Sylfaen" w:hAnsi="Sylfaen"/>
                <w:lang w:val="ka-GE"/>
              </w:rPr>
            </w:pPr>
          </w:p>
        </w:tc>
        <w:tc>
          <w:tcPr>
            <w:tcW w:w="2037" w:type="dxa"/>
          </w:tcPr>
          <w:p w:rsidR="001D41CE" w:rsidRDefault="003077B4" w:rsidP="003077B4">
            <w:pPr>
              <w:jc w:val="both"/>
              <w:rPr>
                <w:rFonts w:ascii="Sylfaen" w:hAnsi="Sylfaen"/>
                <w:lang w:val="ka-GE"/>
              </w:rPr>
            </w:pPr>
            <w:r w:rsidRPr="003077B4">
              <w:rPr>
                <w:rFonts w:ascii="Sylfaen" w:hAnsi="Sylfaen"/>
                <w:lang w:val="ka-GE"/>
              </w:rPr>
              <w:t xml:space="preserve">„არასრულ სამუშაო განაკვეთზე დასაქმებული“- დასაქმებული, რომლის ნორმალური სამუშაო დროის ხანგრძლივობა, გათვლილი კვირის ან საშუალოდ ერთ წლამდე დასაქმების პერიოდში, ნაკლებია ნორმალურ სრულ სამუშაო  დღის </w:t>
            </w:r>
            <w:r>
              <w:rPr>
                <w:rFonts w:ascii="Sylfaen" w:hAnsi="Sylfaen"/>
                <w:lang w:val="ka-GE"/>
              </w:rPr>
              <w:t>ხანგრძლივობაზე</w:t>
            </w:r>
          </w:p>
          <w:p w:rsidR="001D41CE" w:rsidRDefault="001D41CE" w:rsidP="003077B4">
            <w:pPr>
              <w:jc w:val="both"/>
              <w:rPr>
                <w:rFonts w:ascii="Sylfaen" w:hAnsi="Sylfaen"/>
                <w:lang w:val="ka-GE"/>
              </w:rPr>
            </w:pPr>
          </w:p>
          <w:p w:rsidR="001D41CE" w:rsidRDefault="001D41CE" w:rsidP="003077B4">
            <w:pPr>
              <w:jc w:val="both"/>
              <w:rPr>
                <w:rFonts w:ascii="Sylfaen" w:hAnsi="Sylfaen"/>
                <w:lang w:val="ka-GE"/>
              </w:rPr>
            </w:pPr>
          </w:p>
          <w:p w:rsidR="003077B4" w:rsidRPr="00340AED" w:rsidRDefault="003077B4" w:rsidP="003077B4">
            <w:pPr>
              <w:jc w:val="both"/>
              <w:rPr>
                <w:rFonts w:ascii="Sylfaen" w:hAnsi="Sylfaen"/>
              </w:rPr>
            </w:pPr>
          </w:p>
          <w:p w:rsidR="003F23EB" w:rsidRPr="00340AED" w:rsidRDefault="003F23EB" w:rsidP="007C3F40">
            <w:pPr>
              <w:jc w:val="both"/>
              <w:rPr>
                <w:rFonts w:ascii="Sylfaen" w:hAnsi="Sylfaen"/>
              </w:rPr>
            </w:pPr>
          </w:p>
        </w:tc>
        <w:tc>
          <w:tcPr>
            <w:tcW w:w="357" w:type="dxa"/>
          </w:tcPr>
          <w:p w:rsidR="00381570" w:rsidRPr="00254CA3" w:rsidRDefault="00254CA3" w:rsidP="00381570">
            <w:pPr>
              <w:jc w:val="both"/>
              <w:rPr>
                <w:rFonts w:ascii="Sylfaen" w:hAnsi="Sylfaen"/>
              </w:rPr>
            </w:pPr>
            <w:r>
              <w:rPr>
                <w:rFonts w:ascii="Sylfaen" w:hAnsi="Sylfaen"/>
              </w:rPr>
              <w:t>1</w:t>
            </w:r>
          </w:p>
        </w:tc>
        <w:tc>
          <w:tcPr>
            <w:tcW w:w="666" w:type="dxa"/>
          </w:tcPr>
          <w:p w:rsidR="00E335BB" w:rsidRPr="00254CA3" w:rsidRDefault="00254CA3" w:rsidP="00381570">
            <w:pPr>
              <w:jc w:val="both"/>
              <w:rPr>
                <w:rFonts w:ascii="Sylfaen" w:hAnsi="Sylfaen"/>
              </w:rPr>
            </w:pPr>
            <w:r>
              <w:rPr>
                <w:rFonts w:ascii="Sylfaen" w:hAnsi="Sylfaen"/>
              </w:rPr>
              <w:t>16.1.</w:t>
            </w:r>
          </w:p>
        </w:tc>
        <w:tc>
          <w:tcPr>
            <w:tcW w:w="3420" w:type="dxa"/>
          </w:tcPr>
          <w:p w:rsidR="009C45B2" w:rsidRPr="00F66A2D" w:rsidRDefault="009C45B2" w:rsidP="009C45B2">
            <w:pPr>
              <w:pStyle w:val="BodyText"/>
              <w:spacing w:line="244" w:lineRule="auto"/>
              <w:ind w:left="72" w:right="108"/>
              <w:jc w:val="both"/>
              <w:rPr>
                <w:sz w:val="22"/>
                <w:szCs w:val="22"/>
                <w:lang w:val="ka-GE"/>
              </w:rPr>
            </w:pPr>
            <w:r w:rsidRPr="00F66A2D">
              <w:rPr>
                <w:sz w:val="22"/>
                <w:szCs w:val="22"/>
                <w:lang w:val="ka-GE"/>
              </w:rPr>
              <w:t>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ანალოგიურ პირობებში სრულ განაკვეთზე დასაქმებული პირის ნორმირებულ სამუშაო დროზე.</w:t>
            </w:r>
          </w:p>
          <w:p w:rsidR="009C45B2" w:rsidRPr="00F66A2D" w:rsidRDefault="009C45B2" w:rsidP="009C45B2">
            <w:pPr>
              <w:pStyle w:val="BodyText"/>
              <w:spacing w:line="244" w:lineRule="auto"/>
              <w:ind w:left="72" w:right="108"/>
              <w:jc w:val="both"/>
              <w:rPr>
                <w:sz w:val="22"/>
                <w:szCs w:val="22"/>
                <w:lang w:val="ka-GE"/>
              </w:rPr>
            </w:pPr>
            <w:r w:rsidRPr="00F66A2D">
              <w:rPr>
                <w:sz w:val="22"/>
                <w:szCs w:val="22"/>
                <w:lang w:val="ka-GE"/>
              </w:rPr>
              <w:t xml:space="preserve">შენიშვნა: </w:t>
            </w:r>
            <w:r>
              <w:rPr>
                <w:sz w:val="22"/>
                <w:szCs w:val="22"/>
                <w:lang w:val="ka-GE"/>
              </w:rPr>
              <w:t xml:space="preserve">ამ მუხლის მიზნებისათვის </w:t>
            </w:r>
            <w:r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w:t>
            </w:r>
            <w:r w:rsidRPr="00F66A2D">
              <w:rPr>
                <w:sz w:val="22"/>
                <w:szCs w:val="22"/>
                <w:lang w:val="ka-GE"/>
              </w:rPr>
              <w:lastRenderedPageBreak/>
              <w:t>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სამსახურში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p>
          <w:p w:rsidR="002712BC" w:rsidRPr="00340AED" w:rsidRDefault="002712BC" w:rsidP="00254CA3">
            <w:pPr>
              <w:jc w:val="both"/>
              <w:rPr>
                <w:rFonts w:ascii="Sylfaen" w:hAnsi="Sylfaen"/>
                <w:lang w:val="ka-GE"/>
              </w:rPr>
            </w:pPr>
          </w:p>
        </w:tc>
        <w:tc>
          <w:tcPr>
            <w:tcW w:w="630" w:type="dxa"/>
          </w:tcPr>
          <w:p w:rsidR="005525B7" w:rsidRPr="00340AED" w:rsidRDefault="001D41CE" w:rsidP="00381570">
            <w:pPr>
              <w:jc w:val="both"/>
              <w:rPr>
                <w:rFonts w:ascii="Sylfaen" w:hAnsi="Sylfaen"/>
                <w:lang w:val="ka-GE"/>
              </w:rPr>
            </w:pPr>
            <w:r>
              <w:rPr>
                <w:rFonts w:ascii="Sylfaen" w:hAnsi="Sylfaen"/>
                <w:lang w:val="ka-GE"/>
              </w:rPr>
              <w:lastRenderedPageBreak/>
              <w:t>ს</w:t>
            </w:r>
            <w:r w:rsidR="00852D47">
              <w:rPr>
                <w:rFonts w:ascii="Sylfaen" w:hAnsi="Sylfaen"/>
                <w:lang w:val="ka-GE"/>
              </w:rPr>
              <w:t>შ</w:t>
            </w:r>
          </w:p>
        </w:tc>
        <w:tc>
          <w:tcPr>
            <w:tcW w:w="4950" w:type="dxa"/>
          </w:tcPr>
          <w:p w:rsidR="002712BC" w:rsidRDefault="002712BC" w:rsidP="001D41CE">
            <w:pPr>
              <w:jc w:val="both"/>
              <w:rPr>
                <w:rFonts w:ascii="Sylfaen" w:hAnsi="Sylfaen"/>
                <w:lang w:val="ka-GE"/>
              </w:rPr>
            </w:pPr>
            <w:r>
              <w:rPr>
                <w:rFonts w:ascii="Sylfaen" w:hAnsi="Sylfaen"/>
                <w:lang w:val="ka-GE"/>
              </w:rPr>
              <w:t>წარმოდგენილ კანონპროექტში  ასახულია როგორც „სრულ განაკვეთზე დასაქმებულის“, ასევე, „არასრულ განაკვეთზე დასაქმებულის“ დეფინიცია,</w:t>
            </w:r>
          </w:p>
          <w:p w:rsidR="004A3B4A" w:rsidRPr="004A3B4A" w:rsidRDefault="002712BC" w:rsidP="001D41CE">
            <w:pPr>
              <w:jc w:val="both"/>
              <w:rPr>
                <w:rFonts w:ascii="Sylfaen" w:hAnsi="Sylfaen"/>
                <w:lang w:val="ka-GE"/>
              </w:rPr>
            </w:pPr>
            <w:r>
              <w:rPr>
                <w:rFonts w:ascii="Sylfaen" w:hAnsi="Sylfaen"/>
                <w:lang w:val="ka-GE"/>
              </w:rPr>
              <w:t xml:space="preserve">. რაც შეეხება  </w:t>
            </w:r>
            <w:r w:rsidRPr="003077B4">
              <w:rPr>
                <w:rFonts w:ascii="Sylfaen" w:hAnsi="Sylfaen"/>
                <w:lang w:val="ka-GE"/>
              </w:rPr>
              <w:t>„</w:t>
            </w:r>
            <w:r w:rsidRPr="003077B4">
              <w:rPr>
                <w:rFonts w:ascii="Sylfaen" w:hAnsi="Sylfaen" w:cs="Sylfaen"/>
                <w:lang w:val="ka-GE"/>
              </w:rPr>
              <w:t>სრულ</w:t>
            </w:r>
            <w:r w:rsidRPr="003077B4">
              <w:rPr>
                <w:rFonts w:ascii="Sylfaen" w:hAnsi="Sylfaen"/>
                <w:lang w:val="ka-GE"/>
              </w:rPr>
              <w:t xml:space="preserve"> </w:t>
            </w:r>
            <w:r w:rsidRPr="003077B4">
              <w:rPr>
                <w:rFonts w:ascii="Sylfaen" w:hAnsi="Sylfaen" w:cs="Sylfaen"/>
                <w:lang w:val="ka-GE"/>
              </w:rPr>
              <w:t>სამუშაო</w:t>
            </w:r>
            <w:r w:rsidRPr="003077B4">
              <w:rPr>
                <w:rFonts w:ascii="Sylfaen" w:hAnsi="Sylfaen"/>
                <w:lang w:val="ka-GE"/>
              </w:rPr>
              <w:t xml:space="preserve"> </w:t>
            </w:r>
            <w:r w:rsidRPr="003077B4">
              <w:rPr>
                <w:rFonts w:ascii="Sylfaen" w:hAnsi="Sylfaen" w:cs="Sylfaen"/>
                <w:lang w:val="ka-GE"/>
              </w:rPr>
              <w:t>განაკვეთზე</w:t>
            </w:r>
            <w:r w:rsidRPr="003077B4">
              <w:rPr>
                <w:rFonts w:ascii="Sylfaen" w:hAnsi="Sylfaen"/>
                <w:lang w:val="ka-GE"/>
              </w:rPr>
              <w:t xml:space="preserve"> </w:t>
            </w:r>
            <w:r w:rsidRPr="003077B4">
              <w:rPr>
                <w:rFonts w:ascii="Sylfaen" w:hAnsi="Sylfaen" w:cs="Sylfaen"/>
                <w:lang w:val="ka-GE"/>
              </w:rPr>
              <w:t>დასაქმებულთან</w:t>
            </w:r>
            <w:r w:rsidRPr="003077B4">
              <w:rPr>
                <w:rFonts w:ascii="Sylfaen" w:hAnsi="Sylfaen"/>
                <w:lang w:val="ka-GE"/>
              </w:rPr>
              <w:t xml:space="preserve"> </w:t>
            </w:r>
            <w:r w:rsidRPr="003077B4">
              <w:rPr>
                <w:rFonts w:ascii="Sylfaen" w:hAnsi="Sylfaen" w:cs="Sylfaen"/>
                <w:lang w:val="ka-GE"/>
              </w:rPr>
              <w:t>გათანაბრებულ</w:t>
            </w:r>
            <w:r>
              <w:rPr>
                <w:rFonts w:ascii="Sylfaen" w:hAnsi="Sylfaen" w:cs="Sylfaen"/>
                <w:lang w:val="ka-GE"/>
              </w:rPr>
              <w:t>ს</w:t>
            </w:r>
            <w:r w:rsidRPr="003077B4">
              <w:rPr>
                <w:rFonts w:ascii="Sylfaen" w:hAnsi="Sylfaen"/>
                <w:lang w:val="ka-GE"/>
              </w:rPr>
              <w:t>“</w:t>
            </w:r>
            <w:r>
              <w:rPr>
                <w:rFonts w:ascii="Sylfaen" w:hAnsi="Sylfaen"/>
                <w:lang w:val="ka-GE"/>
              </w:rPr>
              <w:t xml:space="preserve"> საქართველოს კანონმდებლობა </w:t>
            </w:r>
            <w:r w:rsidR="005923E0">
              <w:rPr>
                <w:rFonts w:ascii="Sylfaen" w:hAnsi="Sylfaen"/>
                <w:lang w:val="ka-GE"/>
              </w:rPr>
              <w:t xml:space="preserve">დასაქმებულთა </w:t>
            </w:r>
            <w:r>
              <w:rPr>
                <w:rFonts w:ascii="Sylfaen" w:hAnsi="Sylfaen"/>
                <w:lang w:val="ka-GE"/>
              </w:rPr>
              <w:t xml:space="preserve">დიფერენციაციას არ ახდენს სამუშაო დროის მიხედვით. შესაბამისად, არ არსებობს ამგვარი დეფინიციის ცალკე არსებობის საჭიროება. </w:t>
            </w:r>
          </w:p>
        </w:tc>
      </w:tr>
      <w:tr w:rsidR="00AB74DE" w:rsidRPr="00381570" w:rsidTr="00997D7F">
        <w:tc>
          <w:tcPr>
            <w:tcW w:w="918" w:type="dxa"/>
          </w:tcPr>
          <w:p w:rsidR="00AB74DE" w:rsidRDefault="00AB74DE" w:rsidP="00191B05">
            <w:pPr>
              <w:jc w:val="both"/>
              <w:rPr>
                <w:rFonts w:ascii="Sylfaen" w:hAnsi="Sylfaen"/>
                <w:lang w:val="ka-GE"/>
              </w:rPr>
            </w:pPr>
            <w:r>
              <w:rPr>
                <w:rFonts w:ascii="Sylfaen" w:hAnsi="Sylfaen"/>
                <w:lang w:val="ka-GE"/>
              </w:rPr>
              <w:lastRenderedPageBreak/>
              <w:t>3.2.</w:t>
            </w:r>
          </w:p>
        </w:tc>
        <w:tc>
          <w:tcPr>
            <w:tcW w:w="2037" w:type="dxa"/>
          </w:tcPr>
          <w:p w:rsidR="00AB74DE" w:rsidRPr="003077B4" w:rsidRDefault="00AB74DE" w:rsidP="00AB74DE">
            <w:pPr>
              <w:jc w:val="both"/>
              <w:rPr>
                <w:rFonts w:ascii="Sylfaen" w:hAnsi="Sylfaen"/>
                <w:lang w:val="ka-GE"/>
              </w:rPr>
            </w:pPr>
            <w:r w:rsidRPr="003077B4">
              <w:rPr>
                <w:rFonts w:ascii="Sylfaen" w:hAnsi="Sylfaen"/>
                <w:lang w:val="ka-GE"/>
              </w:rPr>
              <w:t>„</w:t>
            </w:r>
            <w:r w:rsidRPr="003077B4">
              <w:rPr>
                <w:rFonts w:ascii="Sylfaen" w:hAnsi="Sylfaen" w:cs="Sylfaen"/>
                <w:lang w:val="ka-GE"/>
              </w:rPr>
              <w:t>სრულ</w:t>
            </w:r>
            <w:r w:rsidRPr="003077B4">
              <w:rPr>
                <w:rFonts w:ascii="Sylfaen" w:hAnsi="Sylfaen"/>
                <w:lang w:val="ka-GE"/>
              </w:rPr>
              <w:t xml:space="preserve"> </w:t>
            </w:r>
            <w:r w:rsidRPr="003077B4">
              <w:rPr>
                <w:rFonts w:ascii="Sylfaen" w:hAnsi="Sylfaen" w:cs="Sylfaen"/>
                <w:lang w:val="ka-GE"/>
              </w:rPr>
              <w:t>სამუშაო</w:t>
            </w:r>
            <w:r w:rsidRPr="003077B4">
              <w:rPr>
                <w:rFonts w:ascii="Sylfaen" w:hAnsi="Sylfaen"/>
                <w:lang w:val="ka-GE"/>
              </w:rPr>
              <w:t xml:space="preserve"> </w:t>
            </w:r>
            <w:r w:rsidRPr="003077B4">
              <w:rPr>
                <w:rFonts w:ascii="Sylfaen" w:hAnsi="Sylfaen" w:cs="Sylfaen"/>
                <w:lang w:val="ka-GE"/>
              </w:rPr>
              <w:t>განაკვეთზე</w:t>
            </w:r>
            <w:r w:rsidRPr="003077B4">
              <w:rPr>
                <w:rFonts w:ascii="Sylfaen" w:hAnsi="Sylfaen"/>
                <w:lang w:val="ka-GE"/>
              </w:rPr>
              <w:t xml:space="preserve"> </w:t>
            </w:r>
            <w:r w:rsidRPr="003077B4">
              <w:rPr>
                <w:rFonts w:ascii="Sylfaen" w:hAnsi="Sylfaen" w:cs="Sylfaen"/>
                <w:lang w:val="ka-GE"/>
              </w:rPr>
              <w:t>დასაქმებულთან</w:t>
            </w:r>
            <w:r w:rsidRPr="003077B4">
              <w:rPr>
                <w:rFonts w:ascii="Sylfaen" w:hAnsi="Sylfaen"/>
                <w:lang w:val="ka-GE"/>
              </w:rPr>
              <w:t xml:space="preserve"> </w:t>
            </w:r>
            <w:r w:rsidRPr="003077B4">
              <w:rPr>
                <w:rFonts w:ascii="Sylfaen" w:hAnsi="Sylfaen" w:cs="Sylfaen"/>
                <w:lang w:val="ka-GE"/>
              </w:rPr>
              <w:t>გათანაბრებული</w:t>
            </w:r>
            <w:r w:rsidRPr="003077B4">
              <w:rPr>
                <w:rFonts w:ascii="Sylfaen" w:hAnsi="Sylfaen"/>
                <w:lang w:val="ka-GE"/>
              </w:rPr>
              <w:t xml:space="preserve">“ - </w:t>
            </w:r>
            <w:r w:rsidRPr="003077B4">
              <w:rPr>
                <w:rFonts w:ascii="Sylfaen" w:hAnsi="Sylfaen" w:cs="Sylfaen"/>
                <w:lang w:val="ka-GE"/>
              </w:rPr>
              <w:t>იმავე</w:t>
            </w:r>
            <w:r w:rsidRPr="003077B4">
              <w:rPr>
                <w:rFonts w:ascii="Sylfaen" w:hAnsi="Sylfaen"/>
                <w:lang w:val="ka-GE"/>
              </w:rPr>
              <w:t xml:space="preserve"> </w:t>
            </w:r>
            <w:r w:rsidRPr="003077B4">
              <w:rPr>
                <w:rFonts w:ascii="Sylfaen" w:hAnsi="Sylfaen" w:cs="Sylfaen"/>
                <w:lang w:val="ka-GE"/>
              </w:rPr>
              <w:t>დაწესებულებაში</w:t>
            </w:r>
            <w:r w:rsidRPr="003077B4">
              <w:rPr>
                <w:rFonts w:ascii="Sylfaen" w:hAnsi="Sylfaen"/>
                <w:lang w:val="ka-GE"/>
              </w:rPr>
              <w:t xml:space="preserve"> </w:t>
            </w:r>
            <w:r w:rsidRPr="003077B4">
              <w:rPr>
                <w:rFonts w:ascii="Sylfaen" w:hAnsi="Sylfaen" w:cs="Sylfaen"/>
                <w:lang w:val="ka-GE"/>
              </w:rPr>
              <w:t>სრულ</w:t>
            </w:r>
            <w:r w:rsidRPr="003077B4">
              <w:rPr>
                <w:rFonts w:ascii="Sylfaen" w:hAnsi="Sylfaen"/>
                <w:lang w:val="ka-GE"/>
              </w:rPr>
              <w:t xml:space="preserve"> </w:t>
            </w:r>
            <w:r w:rsidRPr="003077B4">
              <w:rPr>
                <w:rFonts w:ascii="Sylfaen" w:hAnsi="Sylfaen" w:cs="Sylfaen"/>
                <w:lang w:val="ka-GE"/>
              </w:rPr>
              <w:t>სამუშაო</w:t>
            </w:r>
            <w:r w:rsidRPr="003077B4">
              <w:rPr>
                <w:rFonts w:ascii="Sylfaen" w:hAnsi="Sylfaen"/>
                <w:lang w:val="ka-GE"/>
              </w:rPr>
              <w:t xml:space="preserve"> </w:t>
            </w:r>
            <w:r w:rsidRPr="003077B4">
              <w:rPr>
                <w:rFonts w:ascii="Sylfaen" w:hAnsi="Sylfaen" w:cs="Sylfaen"/>
                <w:lang w:val="ka-GE"/>
              </w:rPr>
              <w:t>განაკვეთზე</w:t>
            </w:r>
            <w:r w:rsidRPr="003077B4">
              <w:rPr>
                <w:rFonts w:ascii="Sylfaen" w:hAnsi="Sylfaen"/>
                <w:lang w:val="ka-GE"/>
              </w:rPr>
              <w:t xml:space="preserve"> </w:t>
            </w:r>
            <w:r w:rsidRPr="003077B4">
              <w:rPr>
                <w:rFonts w:ascii="Sylfaen" w:hAnsi="Sylfaen" w:cs="Sylfaen"/>
                <w:lang w:val="ka-GE"/>
              </w:rPr>
              <w:t>მომუშავე</w:t>
            </w:r>
            <w:r w:rsidRPr="003077B4">
              <w:rPr>
                <w:rFonts w:ascii="Sylfaen" w:hAnsi="Sylfaen"/>
                <w:lang w:val="ka-GE"/>
              </w:rPr>
              <w:t xml:space="preserve"> </w:t>
            </w:r>
            <w:r w:rsidRPr="003077B4">
              <w:rPr>
                <w:rFonts w:ascii="Sylfaen" w:hAnsi="Sylfaen" w:cs="Sylfaen"/>
                <w:lang w:val="ka-GE"/>
              </w:rPr>
              <w:lastRenderedPageBreak/>
              <w:t>დასაქმებული</w:t>
            </w:r>
            <w:r w:rsidRPr="003077B4">
              <w:rPr>
                <w:rFonts w:ascii="Sylfaen" w:hAnsi="Sylfaen"/>
                <w:lang w:val="ka-GE"/>
              </w:rPr>
              <w:t xml:space="preserve"> </w:t>
            </w:r>
            <w:r w:rsidRPr="003077B4">
              <w:rPr>
                <w:rFonts w:ascii="Sylfaen" w:hAnsi="Sylfaen" w:cs="Sylfaen"/>
                <w:lang w:val="ka-GE"/>
              </w:rPr>
              <w:t>იმავე</w:t>
            </w:r>
            <w:r w:rsidRPr="003077B4">
              <w:rPr>
                <w:rFonts w:ascii="Sylfaen" w:hAnsi="Sylfaen"/>
                <w:lang w:val="ka-GE"/>
              </w:rPr>
              <w:t xml:space="preserve"> </w:t>
            </w:r>
            <w:r w:rsidRPr="003077B4">
              <w:rPr>
                <w:rFonts w:ascii="Sylfaen" w:hAnsi="Sylfaen" w:cs="Sylfaen"/>
                <w:lang w:val="ka-GE"/>
              </w:rPr>
              <w:t>სახის</w:t>
            </w:r>
            <w:r w:rsidRPr="003077B4">
              <w:rPr>
                <w:rFonts w:ascii="Sylfaen" w:hAnsi="Sylfaen"/>
                <w:lang w:val="ka-GE"/>
              </w:rPr>
              <w:t xml:space="preserve"> </w:t>
            </w:r>
            <w:r w:rsidRPr="003077B4">
              <w:rPr>
                <w:rFonts w:ascii="Sylfaen" w:hAnsi="Sylfaen" w:cs="Sylfaen"/>
                <w:lang w:val="ka-GE"/>
              </w:rPr>
              <w:t>შრომითი</w:t>
            </w:r>
            <w:r w:rsidRPr="003077B4">
              <w:rPr>
                <w:rFonts w:ascii="Sylfaen" w:hAnsi="Sylfaen"/>
                <w:lang w:val="ka-GE"/>
              </w:rPr>
              <w:t xml:space="preserve"> </w:t>
            </w:r>
            <w:r w:rsidRPr="003077B4">
              <w:rPr>
                <w:rFonts w:ascii="Sylfaen" w:hAnsi="Sylfaen" w:cs="Sylfaen"/>
                <w:lang w:val="ka-GE"/>
              </w:rPr>
              <w:t>ხელშეკრულებით</w:t>
            </w:r>
            <w:r w:rsidRPr="003077B4">
              <w:rPr>
                <w:rFonts w:ascii="Sylfaen" w:hAnsi="Sylfaen"/>
                <w:lang w:val="ka-GE"/>
              </w:rPr>
              <w:t xml:space="preserve">  </w:t>
            </w:r>
            <w:r w:rsidRPr="003077B4">
              <w:rPr>
                <w:rFonts w:ascii="Sylfaen" w:hAnsi="Sylfaen" w:cs="Sylfaen"/>
                <w:lang w:val="ka-GE"/>
              </w:rPr>
              <w:t>ან</w:t>
            </w:r>
            <w:r w:rsidRPr="003077B4">
              <w:rPr>
                <w:rFonts w:ascii="Sylfaen" w:hAnsi="Sylfaen"/>
                <w:lang w:val="ka-GE"/>
              </w:rPr>
              <w:t xml:space="preserve"> </w:t>
            </w:r>
            <w:r w:rsidRPr="003077B4">
              <w:rPr>
                <w:rFonts w:ascii="Sylfaen" w:hAnsi="Sylfaen" w:cs="Sylfaen"/>
                <w:lang w:val="ka-GE"/>
              </w:rPr>
              <w:t>ურთიერთობით</w:t>
            </w:r>
            <w:r w:rsidRPr="003077B4">
              <w:rPr>
                <w:rFonts w:ascii="Sylfaen" w:hAnsi="Sylfaen"/>
                <w:lang w:val="ka-GE"/>
              </w:rPr>
              <w:t xml:space="preserve">, </w:t>
            </w:r>
            <w:r w:rsidRPr="003077B4">
              <w:rPr>
                <w:rFonts w:ascii="Sylfaen" w:hAnsi="Sylfaen" w:cs="Sylfaen"/>
                <w:lang w:val="ka-GE"/>
              </w:rPr>
              <w:t>რომელიც</w:t>
            </w:r>
            <w:r w:rsidRPr="003077B4">
              <w:rPr>
                <w:rFonts w:ascii="Sylfaen" w:hAnsi="Sylfaen"/>
                <w:lang w:val="ka-GE"/>
              </w:rPr>
              <w:t xml:space="preserve"> </w:t>
            </w:r>
            <w:r w:rsidRPr="003077B4">
              <w:rPr>
                <w:rFonts w:ascii="Sylfaen" w:hAnsi="Sylfaen" w:cs="Sylfaen"/>
                <w:lang w:val="ka-GE"/>
              </w:rPr>
              <w:t>ასრულებს</w:t>
            </w:r>
            <w:r w:rsidRPr="003077B4">
              <w:rPr>
                <w:rFonts w:ascii="Sylfaen" w:hAnsi="Sylfaen"/>
                <w:lang w:val="ka-GE"/>
              </w:rPr>
              <w:t xml:space="preserve"> </w:t>
            </w:r>
            <w:r w:rsidRPr="003077B4">
              <w:rPr>
                <w:rFonts w:ascii="Sylfaen" w:hAnsi="Sylfaen" w:cs="Sylfaen"/>
                <w:lang w:val="ka-GE"/>
              </w:rPr>
              <w:t>იმავე</w:t>
            </w:r>
            <w:r w:rsidRPr="003077B4">
              <w:rPr>
                <w:rFonts w:ascii="Sylfaen" w:hAnsi="Sylfaen"/>
                <w:lang w:val="ka-GE"/>
              </w:rPr>
              <w:t xml:space="preserve"> </w:t>
            </w:r>
            <w:r w:rsidRPr="003077B4">
              <w:rPr>
                <w:rFonts w:ascii="Sylfaen" w:hAnsi="Sylfaen" w:cs="Sylfaen"/>
                <w:lang w:val="ka-GE"/>
              </w:rPr>
              <w:t>ან</w:t>
            </w:r>
            <w:r w:rsidRPr="003077B4">
              <w:rPr>
                <w:rFonts w:ascii="Sylfaen" w:hAnsi="Sylfaen"/>
                <w:lang w:val="ka-GE"/>
              </w:rPr>
              <w:t xml:space="preserve"> </w:t>
            </w:r>
            <w:r w:rsidRPr="003077B4">
              <w:rPr>
                <w:rFonts w:ascii="Sylfaen" w:hAnsi="Sylfaen" w:cs="Sylfaen"/>
                <w:lang w:val="ka-GE"/>
              </w:rPr>
              <w:t>მსგავს</w:t>
            </w:r>
            <w:r w:rsidRPr="003077B4">
              <w:rPr>
                <w:rFonts w:ascii="Sylfaen" w:hAnsi="Sylfaen"/>
                <w:lang w:val="ka-GE"/>
              </w:rPr>
              <w:t xml:space="preserve"> </w:t>
            </w:r>
            <w:r w:rsidRPr="003077B4">
              <w:rPr>
                <w:rFonts w:ascii="Sylfaen" w:hAnsi="Sylfaen" w:cs="Sylfaen"/>
                <w:lang w:val="ka-GE"/>
              </w:rPr>
              <w:t>სამუშაოს</w:t>
            </w:r>
            <w:r w:rsidRPr="003077B4">
              <w:rPr>
                <w:rFonts w:ascii="Sylfaen" w:hAnsi="Sylfaen"/>
                <w:lang w:val="ka-GE"/>
              </w:rPr>
              <w:t>/</w:t>
            </w:r>
            <w:r w:rsidRPr="003077B4">
              <w:rPr>
                <w:rFonts w:ascii="Sylfaen" w:hAnsi="Sylfaen" w:cs="Sylfaen"/>
                <w:lang w:val="ka-GE"/>
              </w:rPr>
              <w:t>საქმიანობას</w:t>
            </w:r>
            <w:r w:rsidRPr="003077B4">
              <w:rPr>
                <w:rFonts w:ascii="Sylfaen" w:hAnsi="Sylfaen"/>
                <w:lang w:val="ka-GE"/>
              </w:rPr>
              <w:t xml:space="preserve">, </w:t>
            </w:r>
            <w:r w:rsidRPr="003077B4">
              <w:rPr>
                <w:rFonts w:ascii="Sylfaen" w:hAnsi="Sylfaen" w:cs="Sylfaen"/>
                <w:lang w:val="ka-GE"/>
              </w:rPr>
              <w:t>რომლის</w:t>
            </w:r>
            <w:r w:rsidRPr="003077B4">
              <w:rPr>
                <w:rFonts w:ascii="Sylfaen" w:hAnsi="Sylfaen"/>
                <w:lang w:val="ka-GE"/>
              </w:rPr>
              <w:t xml:space="preserve"> </w:t>
            </w:r>
            <w:r w:rsidRPr="003077B4">
              <w:rPr>
                <w:rFonts w:ascii="Sylfaen" w:hAnsi="Sylfaen" w:cs="Sylfaen"/>
                <w:lang w:val="ka-GE"/>
              </w:rPr>
              <w:t>დროსაც</w:t>
            </w:r>
            <w:r w:rsidRPr="003077B4">
              <w:rPr>
                <w:rFonts w:ascii="Sylfaen" w:hAnsi="Sylfaen"/>
                <w:lang w:val="ka-GE"/>
              </w:rPr>
              <w:t xml:space="preserve"> </w:t>
            </w:r>
            <w:r w:rsidRPr="003077B4">
              <w:rPr>
                <w:rFonts w:ascii="Sylfaen" w:hAnsi="Sylfaen" w:cs="Sylfaen"/>
                <w:lang w:val="ka-GE"/>
              </w:rPr>
              <w:t>გათვალისწინებულია</w:t>
            </w:r>
            <w:r w:rsidRPr="003077B4">
              <w:rPr>
                <w:rFonts w:ascii="Sylfaen" w:hAnsi="Sylfaen"/>
                <w:lang w:val="ka-GE"/>
              </w:rPr>
              <w:t xml:space="preserve"> </w:t>
            </w:r>
            <w:r w:rsidRPr="003077B4">
              <w:rPr>
                <w:rFonts w:ascii="Sylfaen" w:hAnsi="Sylfaen" w:cs="Sylfaen"/>
                <w:lang w:val="ka-GE"/>
              </w:rPr>
              <w:t>როგორც</w:t>
            </w:r>
            <w:r w:rsidRPr="003077B4">
              <w:rPr>
                <w:rFonts w:ascii="Sylfaen" w:hAnsi="Sylfaen"/>
                <w:lang w:val="ka-GE"/>
              </w:rPr>
              <w:t xml:space="preserve"> </w:t>
            </w:r>
            <w:r w:rsidRPr="003077B4">
              <w:rPr>
                <w:rFonts w:ascii="Sylfaen" w:hAnsi="Sylfaen" w:cs="Sylfaen"/>
                <w:lang w:val="ka-GE"/>
              </w:rPr>
              <w:t>სამუშაო</w:t>
            </w:r>
            <w:r w:rsidRPr="003077B4">
              <w:rPr>
                <w:rFonts w:ascii="Sylfaen" w:hAnsi="Sylfaen"/>
                <w:lang w:val="ka-GE"/>
              </w:rPr>
              <w:t xml:space="preserve"> </w:t>
            </w:r>
            <w:r w:rsidRPr="003077B4">
              <w:rPr>
                <w:rFonts w:ascii="Sylfaen" w:hAnsi="Sylfaen" w:cs="Sylfaen"/>
                <w:lang w:val="ka-GE"/>
              </w:rPr>
              <w:t>სტაჟის</w:t>
            </w:r>
            <w:r w:rsidRPr="003077B4">
              <w:rPr>
                <w:rFonts w:ascii="Sylfaen" w:hAnsi="Sylfaen"/>
                <w:lang w:val="ka-GE"/>
              </w:rPr>
              <w:t xml:space="preserve"> </w:t>
            </w:r>
            <w:r w:rsidRPr="003077B4">
              <w:rPr>
                <w:rFonts w:ascii="Sylfaen" w:hAnsi="Sylfaen" w:cs="Sylfaen"/>
                <w:lang w:val="ka-GE"/>
              </w:rPr>
              <w:t>ხანგრძლივობა</w:t>
            </w:r>
            <w:r w:rsidRPr="003077B4">
              <w:rPr>
                <w:rFonts w:ascii="Sylfaen" w:hAnsi="Sylfaen"/>
                <w:lang w:val="ka-GE"/>
              </w:rPr>
              <w:t xml:space="preserve"> </w:t>
            </w:r>
            <w:r w:rsidRPr="003077B4">
              <w:rPr>
                <w:rFonts w:ascii="Sylfaen" w:hAnsi="Sylfaen" w:cs="Sylfaen"/>
                <w:lang w:val="ka-GE"/>
              </w:rPr>
              <w:t>და</w:t>
            </w:r>
            <w:r w:rsidRPr="003077B4">
              <w:rPr>
                <w:rFonts w:ascii="Sylfaen" w:hAnsi="Sylfaen"/>
                <w:lang w:val="ka-GE"/>
              </w:rPr>
              <w:t xml:space="preserve"> </w:t>
            </w:r>
            <w:r w:rsidRPr="003077B4">
              <w:rPr>
                <w:rFonts w:ascii="Sylfaen" w:hAnsi="Sylfaen" w:cs="Sylfaen"/>
                <w:lang w:val="ka-GE"/>
              </w:rPr>
              <w:t>კვალიფიკაცია</w:t>
            </w:r>
            <w:r w:rsidRPr="003077B4">
              <w:rPr>
                <w:rFonts w:ascii="Sylfaen" w:hAnsi="Sylfaen"/>
                <w:lang w:val="ka-GE"/>
              </w:rPr>
              <w:t>/</w:t>
            </w:r>
            <w:r w:rsidRPr="003077B4">
              <w:rPr>
                <w:rFonts w:ascii="Sylfaen" w:hAnsi="Sylfaen" w:cs="Sylfaen"/>
                <w:lang w:val="ka-GE"/>
              </w:rPr>
              <w:t>უნარები</w:t>
            </w:r>
            <w:r w:rsidRPr="003077B4">
              <w:rPr>
                <w:rFonts w:ascii="Sylfaen" w:hAnsi="Sylfaen"/>
                <w:lang w:val="ka-GE"/>
              </w:rPr>
              <w:t xml:space="preserve">, </w:t>
            </w:r>
            <w:r w:rsidRPr="003077B4">
              <w:rPr>
                <w:rFonts w:ascii="Sylfaen" w:hAnsi="Sylfaen" w:cs="Sylfaen"/>
                <w:lang w:val="ka-GE"/>
              </w:rPr>
              <w:t>ასევე</w:t>
            </w:r>
            <w:r w:rsidRPr="003077B4">
              <w:rPr>
                <w:rFonts w:ascii="Sylfaen" w:hAnsi="Sylfaen"/>
                <w:lang w:val="ka-GE"/>
              </w:rPr>
              <w:t xml:space="preserve"> </w:t>
            </w:r>
            <w:r w:rsidRPr="003077B4">
              <w:rPr>
                <w:rFonts w:ascii="Sylfaen" w:hAnsi="Sylfaen" w:cs="Sylfaen"/>
                <w:lang w:val="ka-GE"/>
              </w:rPr>
              <w:t>სხვა</w:t>
            </w:r>
            <w:r w:rsidRPr="003077B4">
              <w:rPr>
                <w:rFonts w:ascii="Sylfaen" w:hAnsi="Sylfaen"/>
                <w:lang w:val="ka-GE"/>
              </w:rPr>
              <w:t xml:space="preserve"> </w:t>
            </w:r>
            <w:r w:rsidRPr="003077B4">
              <w:rPr>
                <w:rFonts w:ascii="Sylfaen" w:hAnsi="Sylfaen" w:cs="Sylfaen"/>
                <w:lang w:val="ka-GE"/>
              </w:rPr>
              <w:t>მოსაზრებები</w:t>
            </w:r>
            <w:r w:rsidRPr="003077B4">
              <w:rPr>
                <w:rFonts w:ascii="Sylfaen" w:hAnsi="Sylfaen"/>
                <w:lang w:val="ka-GE"/>
              </w:rPr>
              <w:t>.</w:t>
            </w:r>
          </w:p>
          <w:p w:rsidR="00AB74DE" w:rsidRPr="003077B4" w:rsidRDefault="00AB74DE" w:rsidP="00AB74DE">
            <w:pPr>
              <w:jc w:val="both"/>
              <w:rPr>
                <w:rFonts w:ascii="Sylfaen" w:hAnsi="Sylfaen"/>
                <w:lang w:val="ka-GE"/>
              </w:rPr>
            </w:pPr>
            <w:r w:rsidRPr="003077B4">
              <w:rPr>
                <w:rFonts w:ascii="Sylfaen" w:hAnsi="Sylfaen" w:cs="Sylfaen"/>
                <w:lang w:val="ka-GE"/>
              </w:rPr>
              <w:t>თუ</w:t>
            </w:r>
            <w:r w:rsidRPr="003077B4">
              <w:rPr>
                <w:rFonts w:ascii="Sylfaen" w:hAnsi="Sylfaen"/>
                <w:lang w:val="ka-GE"/>
              </w:rPr>
              <w:t xml:space="preserve"> </w:t>
            </w:r>
            <w:r w:rsidRPr="003077B4">
              <w:rPr>
                <w:rFonts w:ascii="Sylfaen" w:hAnsi="Sylfaen" w:cs="Sylfaen"/>
                <w:lang w:val="ka-GE"/>
              </w:rPr>
              <w:t>იმავე</w:t>
            </w:r>
            <w:r w:rsidRPr="003077B4">
              <w:rPr>
                <w:rFonts w:ascii="Sylfaen" w:hAnsi="Sylfaen"/>
                <w:lang w:val="ka-GE"/>
              </w:rPr>
              <w:t xml:space="preserve"> </w:t>
            </w:r>
            <w:r w:rsidRPr="003077B4">
              <w:rPr>
                <w:rFonts w:ascii="Sylfaen" w:hAnsi="Sylfaen" w:cs="Sylfaen"/>
                <w:lang w:val="ka-GE"/>
              </w:rPr>
              <w:t>დაწესებულებაში</w:t>
            </w:r>
            <w:r w:rsidRPr="003077B4">
              <w:rPr>
                <w:rFonts w:ascii="Sylfaen" w:hAnsi="Sylfaen"/>
                <w:lang w:val="ka-GE"/>
              </w:rPr>
              <w:t xml:space="preserve"> </w:t>
            </w:r>
            <w:r w:rsidRPr="003077B4">
              <w:rPr>
                <w:rFonts w:ascii="Sylfaen" w:hAnsi="Sylfaen" w:cs="Sylfaen"/>
                <w:lang w:val="ka-GE"/>
              </w:rPr>
              <w:t>არ</w:t>
            </w:r>
            <w:r w:rsidRPr="003077B4">
              <w:rPr>
                <w:rFonts w:ascii="Sylfaen" w:hAnsi="Sylfaen"/>
                <w:lang w:val="ka-GE"/>
              </w:rPr>
              <w:t xml:space="preserve"> </w:t>
            </w:r>
            <w:r w:rsidRPr="003077B4">
              <w:rPr>
                <w:rFonts w:ascii="Sylfaen" w:hAnsi="Sylfaen" w:cs="Sylfaen"/>
                <w:lang w:val="ka-GE"/>
              </w:rPr>
              <w:t>არსებობს</w:t>
            </w:r>
            <w:r w:rsidRPr="003077B4">
              <w:rPr>
                <w:rFonts w:ascii="Sylfaen" w:hAnsi="Sylfaen"/>
                <w:lang w:val="ka-GE"/>
              </w:rPr>
              <w:t xml:space="preserve">  „</w:t>
            </w:r>
            <w:r w:rsidRPr="003077B4">
              <w:rPr>
                <w:rFonts w:ascii="Sylfaen" w:hAnsi="Sylfaen" w:cs="Sylfaen"/>
                <w:lang w:val="ka-GE"/>
              </w:rPr>
              <w:t>სრულ</w:t>
            </w:r>
            <w:r w:rsidRPr="003077B4">
              <w:rPr>
                <w:rFonts w:ascii="Sylfaen" w:hAnsi="Sylfaen"/>
                <w:lang w:val="ka-GE"/>
              </w:rPr>
              <w:t xml:space="preserve"> </w:t>
            </w:r>
            <w:r w:rsidRPr="003077B4">
              <w:rPr>
                <w:rFonts w:ascii="Sylfaen" w:hAnsi="Sylfaen" w:cs="Sylfaen"/>
                <w:lang w:val="ka-GE"/>
              </w:rPr>
              <w:t>სამუშაო</w:t>
            </w:r>
            <w:r w:rsidRPr="003077B4">
              <w:rPr>
                <w:rFonts w:ascii="Sylfaen" w:hAnsi="Sylfaen"/>
                <w:lang w:val="ka-GE"/>
              </w:rPr>
              <w:t xml:space="preserve"> </w:t>
            </w:r>
            <w:r w:rsidRPr="003077B4">
              <w:rPr>
                <w:rFonts w:ascii="Sylfaen" w:hAnsi="Sylfaen" w:cs="Sylfaen"/>
                <w:lang w:val="ka-GE"/>
              </w:rPr>
              <w:t>განაკვეთზე</w:t>
            </w:r>
            <w:r w:rsidRPr="003077B4">
              <w:rPr>
                <w:rFonts w:ascii="Sylfaen" w:hAnsi="Sylfaen"/>
                <w:lang w:val="ka-GE"/>
              </w:rPr>
              <w:t xml:space="preserve"> </w:t>
            </w:r>
            <w:r w:rsidRPr="003077B4">
              <w:rPr>
                <w:rFonts w:ascii="Sylfaen" w:hAnsi="Sylfaen" w:cs="Sylfaen"/>
                <w:lang w:val="ka-GE"/>
              </w:rPr>
              <w:t>დასაქმებულთან</w:t>
            </w:r>
            <w:r w:rsidRPr="003077B4">
              <w:rPr>
                <w:rFonts w:ascii="Sylfaen" w:hAnsi="Sylfaen"/>
                <w:lang w:val="ka-GE"/>
              </w:rPr>
              <w:t xml:space="preserve"> </w:t>
            </w:r>
            <w:r w:rsidRPr="003077B4">
              <w:rPr>
                <w:rFonts w:ascii="Sylfaen" w:hAnsi="Sylfaen" w:cs="Sylfaen"/>
                <w:lang w:val="ka-GE"/>
              </w:rPr>
              <w:t>გათანაბრებული</w:t>
            </w:r>
            <w:r w:rsidRPr="003077B4">
              <w:rPr>
                <w:rFonts w:ascii="Sylfaen" w:hAnsi="Sylfaen"/>
                <w:lang w:val="ka-GE"/>
              </w:rPr>
              <w:t xml:space="preserve">“, </w:t>
            </w:r>
            <w:r w:rsidRPr="003077B4">
              <w:rPr>
                <w:rFonts w:ascii="Sylfaen" w:hAnsi="Sylfaen" w:cs="Sylfaen"/>
                <w:lang w:val="ka-GE"/>
              </w:rPr>
              <w:t>მაშინ</w:t>
            </w:r>
            <w:r w:rsidRPr="003077B4">
              <w:rPr>
                <w:rFonts w:ascii="Sylfaen" w:hAnsi="Sylfaen"/>
                <w:lang w:val="ka-GE"/>
              </w:rPr>
              <w:t xml:space="preserve"> </w:t>
            </w:r>
            <w:r w:rsidRPr="003077B4">
              <w:rPr>
                <w:rFonts w:ascii="Sylfaen" w:hAnsi="Sylfaen" w:cs="Sylfaen"/>
                <w:lang w:val="ka-GE"/>
              </w:rPr>
              <w:t>შედარება</w:t>
            </w:r>
            <w:r w:rsidRPr="003077B4">
              <w:rPr>
                <w:rFonts w:ascii="Sylfaen" w:hAnsi="Sylfaen"/>
                <w:lang w:val="ka-GE"/>
              </w:rPr>
              <w:t xml:space="preserve"> </w:t>
            </w:r>
            <w:r w:rsidRPr="003077B4">
              <w:rPr>
                <w:rFonts w:ascii="Sylfaen" w:hAnsi="Sylfaen" w:cs="Sylfaen"/>
                <w:lang w:val="ka-GE"/>
              </w:rPr>
              <w:t>მიიღწევა</w:t>
            </w:r>
            <w:r w:rsidRPr="003077B4">
              <w:rPr>
                <w:rFonts w:ascii="Sylfaen" w:hAnsi="Sylfaen"/>
                <w:lang w:val="ka-GE"/>
              </w:rPr>
              <w:t xml:space="preserve"> </w:t>
            </w:r>
            <w:r w:rsidRPr="003077B4">
              <w:rPr>
                <w:rFonts w:ascii="Sylfaen" w:hAnsi="Sylfaen" w:cs="Sylfaen"/>
                <w:lang w:val="ka-GE"/>
              </w:rPr>
              <w:t>მოქმედი</w:t>
            </w:r>
            <w:r w:rsidRPr="003077B4">
              <w:rPr>
                <w:rFonts w:ascii="Sylfaen" w:hAnsi="Sylfaen"/>
                <w:lang w:val="ka-GE"/>
              </w:rPr>
              <w:t xml:space="preserve"> </w:t>
            </w:r>
            <w:r w:rsidRPr="003077B4">
              <w:rPr>
                <w:rFonts w:ascii="Sylfaen" w:hAnsi="Sylfaen" w:cs="Sylfaen"/>
                <w:lang w:val="ka-GE"/>
              </w:rPr>
              <w:t>სატარიფო</w:t>
            </w:r>
            <w:r w:rsidRPr="003077B4">
              <w:rPr>
                <w:rFonts w:ascii="Sylfaen" w:hAnsi="Sylfaen"/>
                <w:lang w:val="ka-GE"/>
              </w:rPr>
              <w:t xml:space="preserve"> </w:t>
            </w:r>
            <w:r w:rsidRPr="003077B4">
              <w:rPr>
                <w:rFonts w:ascii="Sylfaen" w:hAnsi="Sylfaen" w:cs="Sylfaen"/>
                <w:lang w:val="ka-GE"/>
              </w:rPr>
              <w:t>ხელშეკრულებებ</w:t>
            </w:r>
            <w:r w:rsidRPr="003077B4">
              <w:rPr>
                <w:rFonts w:ascii="Sylfaen" w:hAnsi="Sylfaen" w:cs="Sylfaen"/>
                <w:lang w:val="ka-GE"/>
              </w:rPr>
              <w:lastRenderedPageBreak/>
              <w:t>ით</w:t>
            </w:r>
            <w:r w:rsidRPr="003077B4">
              <w:rPr>
                <w:rFonts w:ascii="Sylfaen" w:hAnsi="Sylfaen"/>
                <w:lang w:val="ka-GE"/>
              </w:rPr>
              <w:t xml:space="preserve"> </w:t>
            </w:r>
            <w:r w:rsidRPr="003077B4">
              <w:rPr>
                <w:rFonts w:ascii="Sylfaen" w:hAnsi="Sylfaen" w:cs="Sylfaen"/>
                <w:lang w:val="ka-GE"/>
              </w:rPr>
              <w:t>ან</w:t>
            </w:r>
            <w:r w:rsidRPr="003077B4">
              <w:rPr>
                <w:rFonts w:ascii="Sylfaen" w:hAnsi="Sylfaen"/>
                <w:lang w:val="ka-GE"/>
              </w:rPr>
              <w:t xml:space="preserve">, </w:t>
            </w:r>
            <w:r w:rsidRPr="003077B4">
              <w:rPr>
                <w:rFonts w:ascii="Sylfaen" w:hAnsi="Sylfaen" w:cs="Sylfaen"/>
                <w:lang w:val="ka-GE"/>
              </w:rPr>
              <w:t>ასეთის</w:t>
            </w:r>
            <w:r w:rsidRPr="003077B4">
              <w:rPr>
                <w:rFonts w:ascii="Sylfaen" w:hAnsi="Sylfaen"/>
                <w:lang w:val="ka-GE"/>
              </w:rPr>
              <w:t xml:space="preserve"> </w:t>
            </w:r>
            <w:r w:rsidRPr="003077B4">
              <w:rPr>
                <w:rFonts w:ascii="Sylfaen" w:hAnsi="Sylfaen" w:cs="Sylfaen"/>
                <w:lang w:val="ka-GE"/>
              </w:rPr>
              <w:t>არარსებობის</w:t>
            </w:r>
            <w:r w:rsidRPr="003077B4">
              <w:rPr>
                <w:rFonts w:ascii="Sylfaen" w:hAnsi="Sylfaen"/>
                <w:lang w:val="ka-GE"/>
              </w:rPr>
              <w:t xml:space="preserve"> </w:t>
            </w:r>
            <w:r w:rsidRPr="003077B4">
              <w:rPr>
                <w:rFonts w:ascii="Sylfaen" w:hAnsi="Sylfaen" w:cs="Sylfaen"/>
                <w:lang w:val="ka-GE"/>
              </w:rPr>
              <w:t>შემთხვევაში</w:t>
            </w:r>
            <w:r w:rsidRPr="003077B4">
              <w:rPr>
                <w:rFonts w:ascii="Sylfaen" w:hAnsi="Sylfaen"/>
                <w:lang w:val="ka-GE"/>
              </w:rPr>
              <w:t xml:space="preserve"> </w:t>
            </w:r>
            <w:r w:rsidRPr="003077B4">
              <w:rPr>
                <w:rFonts w:ascii="Sylfaen" w:hAnsi="Sylfaen" w:cs="Sylfaen"/>
                <w:lang w:val="ka-GE"/>
              </w:rPr>
              <w:t>საკანონმდებლო</w:t>
            </w:r>
            <w:r w:rsidRPr="003077B4">
              <w:rPr>
                <w:rFonts w:ascii="Sylfaen" w:hAnsi="Sylfaen"/>
                <w:lang w:val="ka-GE"/>
              </w:rPr>
              <w:t xml:space="preserve"> </w:t>
            </w:r>
            <w:r w:rsidRPr="003077B4">
              <w:rPr>
                <w:rFonts w:ascii="Sylfaen" w:hAnsi="Sylfaen" w:cs="Sylfaen"/>
                <w:lang w:val="ka-GE"/>
              </w:rPr>
              <w:t>ან</w:t>
            </w:r>
            <w:r w:rsidRPr="003077B4">
              <w:rPr>
                <w:rFonts w:ascii="Sylfaen" w:hAnsi="Sylfaen"/>
                <w:lang w:val="ka-GE"/>
              </w:rPr>
              <w:t xml:space="preserve"> </w:t>
            </w:r>
            <w:r w:rsidRPr="003077B4">
              <w:rPr>
                <w:rFonts w:ascii="Sylfaen" w:hAnsi="Sylfaen" w:cs="Sylfaen"/>
                <w:lang w:val="ka-GE"/>
              </w:rPr>
              <w:t>კოლექტიური</w:t>
            </w:r>
            <w:r w:rsidRPr="003077B4">
              <w:rPr>
                <w:rFonts w:ascii="Sylfaen" w:hAnsi="Sylfaen"/>
                <w:lang w:val="ka-GE"/>
              </w:rPr>
              <w:t xml:space="preserve"> </w:t>
            </w:r>
            <w:r w:rsidRPr="003077B4">
              <w:rPr>
                <w:rFonts w:ascii="Sylfaen" w:hAnsi="Sylfaen" w:cs="Sylfaen"/>
                <w:lang w:val="ka-GE"/>
              </w:rPr>
              <w:t>ხელშეკრულებების</w:t>
            </w:r>
            <w:r w:rsidRPr="003077B4">
              <w:rPr>
                <w:rFonts w:ascii="Sylfaen" w:hAnsi="Sylfaen"/>
                <w:lang w:val="ka-GE"/>
              </w:rPr>
              <w:t xml:space="preserve"> </w:t>
            </w:r>
            <w:r w:rsidRPr="003077B4">
              <w:rPr>
                <w:rFonts w:ascii="Sylfaen" w:hAnsi="Sylfaen" w:cs="Sylfaen"/>
                <w:lang w:val="ka-GE"/>
              </w:rPr>
              <w:t>დებულებებით</w:t>
            </w:r>
            <w:r w:rsidRPr="003077B4">
              <w:rPr>
                <w:rFonts w:ascii="Sylfaen" w:hAnsi="Sylfaen"/>
                <w:lang w:val="ka-GE"/>
              </w:rPr>
              <w:t xml:space="preserve"> </w:t>
            </w:r>
            <w:r w:rsidRPr="003077B4">
              <w:rPr>
                <w:rFonts w:ascii="Sylfaen" w:hAnsi="Sylfaen" w:cs="Sylfaen"/>
                <w:lang w:val="ka-GE"/>
              </w:rPr>
              <w:t>ან</w:t>
            </w:r>
            <w:r w:rsidRPr="003077B4">
              <w:rPr>
                <w:rFonts w:ascii="Sylfaen" w:hAnsi="Sylfaen"/>
                <w:lang w:val="ka-GE"/>
              </w:rPr>
              <w:t xml:space="preserve"> </w:t>
            </w:r>
            <w:r w:rsidRPr="003077B4">
              <w:rPr>
                <w:rFonts w:ascii="Sylfaen" w:hAnsi="Sylfaen" w:cs="Sylfaen"/>
                <w:lang w:val="ka-GE"/>
              </w:rPr>
              <w:t>ეროვნული</w:t>
            </w:r>
            <w:r w:rsidRPr="003077B4">
              <w:rPr>
                <w:rFonts w:ascii="Sylfaen" w:hAnsi="Sylfaen"/>
                <w:lang w:val="ka-GE"/>
              </w:rPr>
              <w:t xml:space="preserve"> </w:t>
            </w:r>
            <w:r w:rsidRPr="003077B4">
              <w:rPr>
                <w:rFonts w:ascii="Sylfaen" w:hAnsi="Sylfaen" w:cs="Sylfaen"/>
                <w:lang w:val="ka-GE"/>
              </w:rPr>
              <w:t>პრაქტიკით</w:t>
            </w:r>
            <w:r w:rsidRPr="003077B4">
              <w:rPr>
                <w:rFonts w:ascii="Sylfaen" w:hAnsi="Sylfaen"/>
                <w:lang w:val="ka-GE"/>
              </w:rPr>
              <w:t>.</w:t>
            </w:r>
          </w:p>
        </w:tc>
        <w:tc>
          <w:tcPr>
            <w:tcW w:w="357" w:type="dxa"/>
          </w:tcPr>
          <w:p w:rsidR="00AB74DE" w:rsidRPr="000B29A1" w:rsidRDefault="000B29A1" w:rsidP="00381570">
            <w:pPr>
              <w:jc w:val="both"/>
              <w:rPr>
                <w:rFonts w:ascii="Sylfaen" w:hAnsi="Sylfaen"/>
                <w:lang w:val="ka-GE"/>
              </w:rPr>
            </w:pPr>
            <w:r>
              <w:rPr>
                <w:rFonts w:ascii="Sylfaen" w:hAnsi="Sylfaen"/>
                <w:lang w:val="ka-GE"/>
              </w:rPr>
              <w:lastRenderedPageBreak/>
              <w:t>1</w:t>
            </w:r>
          </w:p>
        </w:tc>
        <w:tc>
          <w:tcPr>
            <w:tcW w:w="666" w:type="dxa"/>
          </w:tcPr>
          <w:p w:rsidR="00AB74DE" w:rsidRPr="000B29A1" w:rsidRDefault="000B29A1" w:rsidP="00381570">
            <w:pPr>
              <w:jc w:val="both"/>
              <w:rPr>
                <w:rFonts w:ascii="Sylfaen" w:hAnsi="Sylfaen"/>
                <w:lang w:val="ka-GE"/>
              </w:rPr>
            </w:pPr>
            <w:r>
              <w:rPr>
                <w:rFonts w:ascii="Sylfaen" w:hAnsi="Sylfaen"/>
                <w:lang w:val="ka-GE"/>
              </w:rPr>
              <w:t>16.1</w:t>
            </w:r>
          </w:p>
        </w:tc>
        <w:tc>
          <w:tcPr>
            <w:tcW w:w="3420" w:type="dxa"/>
          </w:tcPr>
          <w:p w:rsidR="00AB74DE" w:rsidRPr="00254CA3" w:rsidRDefault="000B29A1" w:rsidP="00254CA3">
            <w:pPr>
              <w:jc w:val="both"/>
              <w:rPr>
                <w:rFonts w:ascii="Sylfaen" w:hAnsi="Sylfaen" w:cs="Sylfaen"/>
                <w:lang w:val="ka-GE"/>
              </w:rPr>
            </w:pPr>
            <w:r>
              <w:rPr>
                <w:rFonts w:ascii="Sylfaen" w:hAnsi="Sylfaen" w:cs="Sylfaen"/>
                <w:lang w:val="ka-GE"/>
              </w:rPr>
              <w:t>იხ.პუნქტი 3.1.</w:t>
            </w:r>
          </w:p>
        </w:tc>
        <w:tc>
          <w:tcPr>
            <w:tcW w:w="630" w:type="dxa"/>
          </w:tcPr>
          <w:p w:rsidR="00AB74DE" w:rsidRDefault="000B29A1" w:rsidP="00381570">
            <w:pPr>
              <w:jc w:val="both"/>
              <w:rPr>
                <w:rFonts w:ascii="Sylfaen" w:hAnsi="Sylfaen"/>
                <w:lang w:val="ka-GE"/>
              </w:rPr>
            </w:pPr>
            <w:r>
              <w:rPr>
                <w:rFonts w:ascii="Sylfaen" w:hAnsi="Sylfaen"/>
                <w:lang w:val="ka-GE"/>
              </w:rPr>
              <w:t>სშ</w:t>
            </w:r>
          </w:p>
        </w:tc>
        <w:tc>
          <w:tcPr>
            <w:tcW w:w="4950" w:type="dxa"/>
          </w:tcPr>
          <w:p w:rsidR="00AB74DE" w:rsidRDefault="000B29A1" w:rsidP="001D41CE">
            <w:pPr>
              <w:jc w:val="both"/>
              <w:rPr>
                <w:rFonts w:ascii="Sylfaen" w:hAnsi="Sylfaen"/>
                <w:lang w:val="ka-GE"/>
              </w:rPr>
            </w:pPr>
            <w:r>
              <w:rPr>
                <w:rFonts w:ascii="Sylfaen" w:hAnsi="Sylfaen" w:cs="Sylfaen"/>
                <w:lang w:val="ka-GE"/>
              </w:rPr>
              <w:t>იხ.პუნქტი 3.1.</w:t>
            </w:r>
          </w:p>
        </w:tc>
      </w:tr>
      <w:tr w:rsidR="00A45F51" w:rsidRPr="00381570" w:rsidTr="00997D7F">
        <w:tc>
          <w:tcPr>
            <w:tcW w:w="918" w:type="dxa"/>
          </w:tcPr>
          <w:p w:rsidR="0050279B" w:rsidRDefault="00551E96" w:rsidP="00C0289F">
            <w:pPr>
              <w:jc w:val="both"/>
              <w:rPr>
                <w:rFonts w:ascii="Sylfaen" w:hAnsi="Sylfaen"/>
              </w:rPr>
            </w:pPr>
            <w:r>
              <w:rPr>
                <w:rFonts w:ascii="Sylfaen" w:hAnsi="Sylfaen"/>
                <w:lang w:val="ka-GE"/>
              </w:rPr>
              <w:lastRenderedPageBreak/>
              <w:t>4</w:t>
            </w:r>
            <w:r>
              <w:rPr>
                <w:rFonts w:ascii="Sylfaen" w:hAnsi="Sylfaen"/>
              </w:rPr>
              <w:t>.1.</w:t>
            </w: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Default="002B41EF" w:rsidP="00C0289F">
            <w:pPr>
              <w:jc w:val="both"/>
              <w:rPr>
                <w:rFonts w:ascii="Sylfaen" w:hAnsi="Sylfaen"/>
              </w:rPr>
            </w:pPr>
          </w:p>
          <w:p w:rsidR="002B41EF" w:rsidRPr="00551E96" w:rsidRDefault="002B41EF" w:rsidP="00C0289F">
            <w:pPr>
              <w:jc w:val="both"/>
              <w:rPr>
                <w:rFonts w:ascii="Sylfaen" w:hAnsi="Sylfaen"/>
              </w:rPr>
            </w:pPr>
          </w:p>
        </w:tc>
        <w:tc>
          <w:tcPr>
            <w:tcW w:w="2037" w:type="dxa"/>
          </w:tcPr>
          <w:p w:rsidR="00D51A1F" w:rsidRPr="00340AED" w:rsidRDefault="0008537A" w:rsidP="009C45B2">
            <w:pPr>
              <w:jc w:val="both"/>
              <w:rPr>
                <w:rFonts w:ascii="Sylfaen" w:hAnsi="Sylfaen"/>
              </w:rPr>
            </w:pPr>
            <w:proofErr w:type="gramStart"/>
            <w:r w:rsidRPr="0008537A">
              <w:rPr>
                <w:rFonts w:ascii="Sylfaen" w:hAnsi="Sylfaen"/>
              </w:rPr>
              <w:lastRenderedPageBreak/>
              <w:t>არასრულ</w:t>
            </w:r>
            <w:proofErr w:type="gramEnd"/>
            <w:r w:rsidRPr="0008537A">
              <w:rPr>
                <w:rFonts w:ascii="Sylfaen" w:hAnsi="Sylfaen"/>
              </w:rPr>
              <w:t xml:space="preserve"> სამუშაო განაკვეთზე დასაქმებულები მხოლოდ იმის გამო, რომ ისინი არასრულ სამუშაო განაკვეთზე არიან დასაქმებულები, არ უნდა სარგებლობდნენ უფრო უარესი პირობებით, ვიდრე სრულ სამუშაო განაკვეთზე დასაქმებულთან გათანაბრებულები, თუ ასეთი განსხვავება არ არის გამოწვეული </w:t>
            </w:r>
            <w:r w:rsidRPr="0008537A">
              <w:rPr>
                <w:rFonts w:ascii="Sylfaen" w:hAnsi="Sylfaen"/>
              </w:rPr>
              <w:lastRenderedPageBreak/>
              <w:t>ობიექტური მიზეზებით.</w:t>
            </w:r>
          </w:p>
        </w:tc>
        <w:tc>
          <w:tcPr>
            <w:tcW w:w="357" w:type="dxa"/>
          </w:tcPr>
          <w:p w:rsidR="0050279B" w:rsidRPr="00340AED" w:rsidRDefault="00A00989" w:rsidP="00440666">
            <w:pPr>
              <w:jc w:val="both"/>
              <w:rPr>
                <w:rFonts w:ascii="Sylfaen" w:hAnsi="Sylfaen"/>
                <w:lang w:val="ka-GE"/>
              </w:rPr>
            </w:pPr>
            <w:r>
              <w:rPr>
                <w:rFonts w:ascii="Sylfaen" w:hAnsi="Sylfaen"/>
                <w:lang w:val="ka-GE"/>
              </w:rPr>
              <w:lastRenderedPageBreak/>
              <w:t>1</w:t>
            </w:r>
          </w:p>
        </w:tc>
        <w:tc>
          <w:tcPr>
            <w:tcW w:w="666" w:type="dxa"/>
          </w:tcPr>
          <w:p w:rsidR="0050279B" w:rsidRPr="00340AED" w:rsidRDefault="00A00989" w:rsidP="00440666">
            <w:pPr>
              <w:jc w:val="both"/>
              <w:rPr>
                <w:rFonts w:ascii="Sylfaen" w:hAnsi="Sylfaen"/>
                <w:lang w:val="ka-GE"/>
              </w:rPr>
            </w:pPr>
            <w:r>
              <w:rPr>
                <w:rFonts w:ascii="Sylfaen" w:hAnsi="Sylfaen"/>
                <w:lang w:val="ka-GE"/>
              </w:rPr>
              <w:t>16.2</w:t>
            </w:r>
          </w:p>
        </w:tc>
        <w:tc>
          <w:tcPr>
            <w:tcW w:w="3420" w:type="dxa"/>
          </w:tcPr>
          <w:p w:rsidR="0050279B" w:rsidRDefault="00A00989" w:rsidP="00440666">
            <w:pPr>
              <w:jc w:val="both"/>
              <w:rPr>
                <w:rFonts w:ascii="Sylfaen" w:hAnsi="Sylfaen"/>
                <w:lang w:val="ka-GE"/>
              </w:rPr>
            </w:pPr>
            <w:r w:rsidRPr="00A00989">
              <w:rPr>
                <w:rFonts w:ascii="Sylfaen" w:hAnsi="Sylfaen"/>
                <w:lang w:val="ka-GE"/>
              </w:rPr>
              <w:t>აკრძალულია შრომით პირობებთან დაკავშირებით არასრულ სამუშაო განაკვეთზე დასაქმებული პირის  განსხვავებული მოპყრობა ანალოგიურ პირობებში სრულ განაკვეთზე დასაქმებულ პირთან შედარებით, მხოლოდ იმის გამო, რომ ეს პირი დასაქმებულია არასრულ სამუშაო განაკვეთზე, გარდა იმ შემთხვევისა როდესაც განსხვავებული მოპყრობა გამართლებულია ობიექტური საფუძვლებით.</w:t>
            </w:r>
          </w:p>
          <w:p w:rsidR="002712BC" w:rsidRDefault="002712BC" w:rsidP="00440666">
            <w:pPr>
              <w:jc w:val="both"/>
              <w:rPr>
                <w:rFonts w:ascii="Sylfaen" w:hAnsi="Sylfaen"/>
                <w:lang w:val="ka-GE"/>
              </w:rPr>
            </w:pPr>
          </w:p>
          <w:p w:rsidR="002712BC" w:rsidRPr="00D23DCB" w:rsidRDefault="002712BC" w:rsidP="00440666">
            <w:pPr>
              <w:jc w:val="both"/>
              <w:rPr>
                <w:rFonts w:ascii="Sylfaen" w:hAnsi="Sylfaen"/>
                <w:lang w:val="ka-GE"/>
              </w:rPr>
            </w:pPr>
            <w:r>
              <w:rPr>
                <w:rFonts w:ascii="Sylfaen" w:hAnsi="Sylfaen"/>
                <w:lang w:val="ka-GE"/>
              </w:rPr>
              <w:t xml:space="preserve">დამატებით იხ. წარმოდგენილი დოკუმენტის 1 პუნქტი. </w:t>
            </w:r>
          </w:p>
        </w:tc>
        <w:tc>
          <w:tcPr>
            <w:tcW w:w="630" w:type="dxa"/>
          </w:tcPr>
          <w:p w:rsidR="0050279B" w:rsidRPr="00340AED" w:rsidRDefault="0008537A" w:rsidP="00440666">
            <w:pPr>
              <w:jc w:val="both"/>
              <w:rPr>
                <w:rFonts w:ascii="Sylfaen" w:hAnsi="Sylfaen"/>
                <w:lang w:val="ka-GE"/>
              </w:rPr>
            </w:pPr>
            <w:r>
              <w:rPr>
                <w:rFonts w:ascii="Sylfaen" w:hAnsi="Sylfaen"/>
                <w:lang w:val="ka-GE"/>
              </w:rPr>
              <w:t>სშ</w:t>
            </w:r>
          </w:p>
        </w:tc>
        <w:tc>
          <w:tcPr>
            <w:tcW w:w="4950" w:type="dxa"/>
          </w:tcPr>
          <w:p w:rsidR="0050279B" w:rsidRDefault="00D23DCB" w:rsidP="00440666">
            <w:pPr>
              <w:jc w:val="both"/>
              <w:rPr>
                <w:rFonts w:ascii="Sylfaen" w:hAnsi="Sylfaen"/>
                <w:lang w:val="ka-GE"/>
              </w:rPr>
            </w:pPr>
            <w:r>
              <w:rPr>
                <w:rFonts w:ascii="Sylfaen" w:hAnsi="Sylfaen"/>
                <w:lang w:val="ka-GE"/>
              </w:rPr>
              <w:t>წარმოდგენილი კანონპროექტი და არსებული კანონმდებლობა კრძალავს დისკრიმინაციას, მათ შორის,</w:t>
            </w:r>
            <w:r w:rsidR="006853B7">
              <w:rPr>
                <w:rFonts w:ascii="Sylfaen" w:hAnsi="Sylfaen"/>
                <w:lang w:val="ka-GE"/>
              </w:rPr>
              <w:t xml:space="preserve"> </w:t>
            </w:r>
            <w:r>
              <w:rPr>
                <w:rFonts w:ascii="Sylfaen" w:hAnsi="Sylfaen"/>
                <w:lang w:val="ka-GE"/>
              </w:rPr>
              <w:t>არასრულ განაკვეთზე დასა</w:t>
            </w:r>
            <w:r w:rsidR="006853B7">
              <w:rPr>
                <w:rFonts w:ascii="Sylfaen" w:hAnsi="Sylfaen"/>
                <w:lang w:val="ka-GE"/>
              </w:rPr>
              <w:t xml:space="preserve">ქმებულებთან მიმართებაშიც. </w:t>
            </w:r>
          </w:p>
          <w:p w:rsidR="006853B7" w:rsidRDefault="006853B7" w:rsidP="00440666">
            <w:pPr>
              <w:jc w:val="both"/>
              <w:rPr>
                <w:rFonts w:ascii="Sylfaen" w:hAnsi="Sylfaen"/>
                <w:lang w:val="ka-GE"/>
              </w:rPr>
            </w:pPr>
          </w:p>
          <w:p w:rsidR="006853B7" w:rsidRPr="00340AED" w:rsidRDefault="006853B7" w:rsidP="00440666">
            <w:pPr>
              <w:jc w:val="both"/>
              <w:rPr>
                <w:rFonts w:ascii="Sylfaen" w:hAnsi="Sylfaen"/>
                <w:lang w:val="ka-GE"/>
              </w:rPr>
            </w:pPr>
            <w:r>
              <w:rPr>
                <w:rFonts w:ascii="Sylfaen" w:hAnsi="Sylfaen"/>
                <w:lang w:val="ka-GE"/>
              </w:rPr>
              <w:t>ამასთანავე, კანონ</w:t>
            </w:r>
            <w:r w:rsidR="002B41EF">
              <w:rPr>
                <w:rFonts w:ascii="Sylfaen" w:hAnsi="Sylfaen"/>
                <w:lang w:val="ka-GE"/>
              </w:rPr>
              <w:t>მდებლობა სახელდებით მიუთითებს, რომ არასრულ განაკვეთზე დასაქმებული  პირები არ უნდა სარგებლობდნენ გაუარესებული პ</w:t>
            </w:r>
            <w:r w:rsidR="005923E0">
              <w:rPr>
                <w:rFonts w:ascii="Sylfaen" w:hAnsi="Sylfaen"/>
                <w:lang w:val="ka-GE"/>
              </w:rPr>
              <w:t>ი</w:t>
            </w:r>
            <w:r w:rsidR="002B41EF">
              <w:rPr>
                <w:rFonts w:ascii="Sylfaen" w:hAnsi="Sylfaen"/>
                <w:lang w:val="ka-GE"/>
              </w:rPr>
              <w:t xml:space="preserve">რობებით </w:t>
            </w:r>
            <w:r w:rsidR="002B41EF" w:rsidRPr="00A00989">
              <w:rPr>
                <w:rFonts w:ascii="Sylfaen" w:hAnsi="Sylfaen"/>
                <w:lang w:val="ka-GE"/>
              </w:rPr>
              <w:t xml:space="preserve"> სრულ განაკვეთზე დასაქმებულ პირ</w:t>
            </w:r>
            <w:r w:rsidR="002B41EF">
              <w:rPr>
                <w:rFonts w:ascii="Sylfaen" w:hAnsi="Sylfaen"/>
                <w:lang w:val="ka-GE"/>
              </w:rPr>
              <w:t>ებ</w:t>
            </w:r>
            <w:r w:rsidR="002B41EF" w:rsidRPr="00A00989">
              <w:rPr>
                <w:rFonts w:ascii="Sylfaen" w:hAnsi="Sylfaen"/>
                <w:lang w:val="ka-GE"/>
              </w:rPr>
              <w:t>თან შედარებით</w:t>
            </w:r>
            <w:r w:rsidR="009C45B2">
              <w:rPr>
                <w:rFonts w:ascii="Sylfaen" w:hAnsi="Sylfaen"/>
                <w:lang w:val="ka-GE"/>
              </w:rPr>
              <w:t>.</w:t>
            </w:r>
          </w:p>
        </w:tc>
      </w:tr>
      <w:tr w:rsidR="00551E96" w:rsidRPr="00381570" w:rsidTr="00997D7F">
        <w:trPr>
          <w:trHeight w:val="1542"/>
        </w:trPr>
        <w:tc>
          <w:tcPr>
            <w:tcW w:w="918" w:type="dxa"/>
          </w:tcPr>
          <w:p w:rsidR="00551E96" w:rsidRPr="00551E96" w:rsidRDefault="00551E96" w:rsidP="00C0289F">
            <w:pPr>
              <w:jc w:val="both"/>
              <w:rPr>
                <w:rFonts w:ascii="Sylfaen" w:hAnsi="Sylfaen"/>
              </w:rPr>
            </w:pPr>
            <w:r>
              <w:rPr>
                <w:rFonts w:ascii="Sylfaen" w:hAnsi="Sylfaen"/>
              </w:rPr>
              <w:lastRenderedPageBreak/>
              <w:t>4.2.</w:t>
            </w:r>
          </w:p>
        </w:tc>
        <w:tc>
          <w:tcPr>
            <w:tcW w:w="2037" w:type="dxa"/>
          </w:tcPr>
          <w:p w:rsidR="00551E96" w:rsidRPr="0008537A" w:rsidRDefault="00551E96" w:rsidP="00A1568C">
            <w:pPr>
              <w:jc w:val="both"/>
              <w:rPr>
                <w:rFonts w:ascii="Sylfaen" w:hAnsi="Sylfaen"/>
              </w:rPr>
            </w:pPr>
            <w:r w:rsidRPr="00551E96">
              <w:rPr>
                <w:rFonts w:ascii="Sylfaen" w:hAnsi="Sylfaen"/>
                <w:lang w:val="ka-GE"/>
              </w:rPr>
              <w:t xml:space="preserve">იქ, სადაც ეს შესაძლებელია, გამოიყენება </w:t>
            </w:r>
            <w:r w:rsidRPr="00551E96">
              <w:rPr>
                <w:rFonts w:ascii="Sylfaen" w:hAnsi="Sylfaen"/>
                <w:i/>
                <w:lang w:val="ka-GE"/>
              </w:rPr>
              <w:t xml:space="preserve">Pro-rata-temporis </w:t>
            </w:r>
            <w:r w:rsidRPr="00551E96">
              <w:rPr>
                <w:rFonts w:ascii="Sylfaen" w:hAnsi="Sylfaen"/>
                <w:lang w:val="ka-GE"/>
              </w:rPr>
              <w:t>პრინციპი.</w:t>
            </w:r>
          </w:p>
        </w:tc>
        <w:tc>
          <w:tcPr>
            <w:tcW w:w="357" w:type="dxa"/>
          </w:tcPr>
          <w:p w:rsidR="00551E96" w:rsidRDefault="00551E96" w:rsidP="00440666">
            <w:pPr>
              <w:jc w:val="both"/>
              <w:rPr>
                <w:rFonts w:ascii="Sylfaen" w:hAnsi="Sylfaen"/>
                <w:lang w:val="ka-GE"/>
              </w:rPr>
            </w:pPr>
          </w:p>
        </w:tc>
        <w:tc>
          <w:tcPr>
            <w:tcW w:w="666" w:type="dxa"/>
          </w:tcPr>
          <w:p w:rsidR="00551E96" w:rsidRDefault="00551E96" w:rsidP="000B29A1">
            <w:pPr>
              <w:jc w:val="both"/>
              <w:rPr>
                <w:rFonts w:ascii="Sylfaen" w:hAnsi="Sylfaen"/>
                <w:lang w:val="ka-GE"/>
              </w:rPr>
            </w:pPr>
          </w:p>
        </w:tc>
        <w:tc>
          <w:tcPr>
            <w:tcW w:w="3420" w:type="dxa"/>
          </w:tcPr>
          <w:p w:rsidR="00551E96" w:rsidRPr="00A00989" w:rsidRDefault="00551E96" w:rsidP="00440666">
            <w:pPr>
              <w:jc w:val="both"/>
              <w:rPr>
                <w:rFonts w:ascii="Sylfaen" w:hAnsi="Sylfaen"/>
                <w:lang w:val="ka-GE"/>
              </w:rPr>
            </w:pPr>
          </w:p>
        </w:tc>
        <w:tc>
          <w:tcPr>
            <w:tcW w:w="630" w:type="dxa"/>
          </w:tcPr>
          <w:p w:rsidR="00551E96" w:rsidRPr="00F830F9" w:rsidRDefault="00F830F9" w:rsidP="00440666">
            <w:pPr>
              <w:jc w:val="both"/>
              <w:rPr>
                <w:rFonts w:ascii="Sylfaen" w:hAnsi="Sylfaen"/>
                <w:lang w:val="ka-GE"/>
              </w:rPr>
            </w:pPr>
            <w:r>
              <w:rPr>
                <w:rFonts w:ascii="Sylfaen" w:hAnsi="Sylfaen"/>
                <w:lang w:val="ka-GE"/>
              </w:rPr>
              <w:t>შ</w:t>
            </w:r>
          </w:p>
        </w:tc>
        <w:tc>
          <w:tcPr>
            <w:tcW w:w="4950" w:type="dxa"/>
          </w:tcPr>
          <w:p w:rsidR="00551E96" w:rsidRPr="00340AED" w:rsidRDefault="00F830F9" w:rsidP="003D255B">
            <w:pPr>
              <w:jc w:val="both"/>
              <w:rPr>
                <w:rFonts w:ascii="Sylfaen" w:hAnsi="Sylfaen"/>
                <w:lang w:val="ka-GE"/>
              </w:rPr>
            </w:pPr>
            <w:r>
              <w:rPr>
                <w:rFonts w:ascii="Sylfaen" w:hAnsi="Sylfaen"/>
                <w:lang w:val="ka-GE"/>
              </w:rPr>
              <w:t>დღე</w:t>
            </w:r>
            <w:r w:rsidR="00727C3B">
              <w:rPr>
                <w:rFonts w:ascii="Sylfaen" w:hAnsi="Sylfaen"/>
                <w:lang w:val="ka-GE"/>
              </w:rPr>
              <w:t xml:space="preserve">ვანდელი მდგომარეობით </w:t>
            </w:r>
            <w:r w:rsidR="008D6943">
              <w:rPr>
                <w:rFonts w:ascii="Sylfaen" w:hAnsi="Sylfaen"/>
                <w:lang w:val="ka-GE"/>
              </w:rPr>
              <w:t xml:space="preserve">შრომის </w:t>
            </w:r>
            <w:r w:rsidR="00727C3B">
              <w:rPr>
                <w:rFonts w:ascii="Sylfaen" w:hAnsi="Sylfaen"/>
                <w:lang w:val="ka-GE"/>
              </w:rPr>
              <w:t xml:space="preserve">კანონმდებლობა </w:t>
            </w:r>
            <w:r w:rsidR="008D6943">
              <w:rPr>
                <w:rFonts w:ascii="Sylfaen" w:hAnsi="Sylfaen"/>
                <w:lang w:val="ka-GE"/>
              </w:rPr>
              <w:t xml:space="preserve">პირდაპირ </w:t>
            </w:r>
            <w:r w:rsidR="00727C3B">
              <w:rPr>
                <w:rFonts w:ascii="Sylfaen" w:hAnsi="Sylfaen"/>
                <w:lang w:val="ka-GE"/>
              </w:rPr>
              <w:t xml:space="preserve">არ ითვალისწინებს სამუშაოზე დატვირთვის პროპორციულად შესაბამისი ბენეფიტების/სარგებლის დადგენის წესს. შესაბამისად, </w:t>
            </w:r>
            <w:r w:rsidR="00727C3B">
              <w:rPr>
                <w:rFonts w:ascii="Sylfaen" w:hAnsi="Sylfaen"/>
                <w:i/>
              </w:rPr>
              <w:t>pro-rata-temporis</w:t>
            </w:r>
            <w:r w:rsidR="00727C3B">
              <w:rPr>
                <w:rFonts w:ascii="Sylfaen" w:hAnsi="Sylfaen"/>
                <w:i/>
                <w:lang w:val="ru-RU"/>
              </w:rPr>
              <w:t xml:space="preserve"> </w:t>
            </w:r>
            <w:r w:rsidR="00727C3B">
              <w:rPr>
                <w:rFonts w:ascii="Sylfaen" w:hAnsi="Sylfaen"/>
                <w:lang w:val="ka-GE"/>
              </w:rPr>
              <w:t xml:space="preserve">პრინციპის </w:t>
            </w:r>
            <w:r w:rsidR="003D255B">
              <w:rPr>
                <w:rFonts w:ascii="Sylfaen" w:hAnsi="Sylfaen"/>
                <w:lang w:val="ka-GE"/>
              </w:rPr>
              <w:t xml:space="preserve">შემოღება </w:t>
            </w:r>
            <w:r w:rsidR="00727C3B">
              <w:rPr>
                <w:rFonts w:ascii="Sylfaen" w:hAnsi="Sylfaen"/>
                <w:lang w:val="ka-GE"/>
              </w:rPr>
              <w:t xml:space="preserve">გამოიწვევდა </w:t>
            </w:r>
            <w:r w:rsidR="003D255B">
              <w:rPr>
                <w:rFonts w:ascii="Sylfaen" w:hAnsi="Sylfaen"/>
                <w:lang w:val="ka-GE"/>
              </w:rPr>
              <w:t xml:space="preserve">არსებულ შრომის კოდექსთან მიმართებით </w:t>
            </w:r>
            <w:r w:rsidR="00727C3B">
              <w:rPr>
                <w:rFonts w:ascii="Sylfaen" w:hAnsi="Sylfaen"/>
                <w:lang w:val="ka-GE"/>
              </w:rPr>
              <w:t>დასაქმებულთა</w:t>
            </w:r>
            <w:r w:rsidR="00B04297">
              <w:rPr>
                <w:rFonts w:ascii="Sylfaen" w:hAnsi="Sylfaen"/>
                <w:lang w:val="ka-GE"/>
              </w:rPr>
              <w:t xml:space="preserve"> მდგომარეობის გაუარესებას</w:t>
            </w:r>
            <w:r w:rsidR="00727C3B">
              <w:rPr>
                <w:rFonts w:ascii="Sylfaen" w:hAnsi="Sylfaen"/>
                <w:lang w:val="ka-GE"/>
              </w:rPr>
              <w:t>.</w:t>
            </w:r>
            <w:r w:rsidR="001431D8">
              <w:rPr>
                <w:rFonts w:ascii="Sylfaen" w:hAnsi="Sylfaen"/>
                <w:lang w:val="ka-GE"/>
              </w:rPr>
              <w:t xml:space="preserve"> </w:t>
            </w:r>
            <w:r w:rsidR="00727C3B">
              <w:rPr>
                <w:rFonts w:ascii="Sylfaen" w:hAnsi="Sylfaen"/>
                <w:lang w:val="ka-GE"/>
              </w:rPr>
              <w:t xml:space="preserve">  </w:t>
            </w:r>
          </w:p>
        </w:tc>
      </w:tr>
      <w:tr w:rsidR="00C90F5C" w:rsidRPr="00381570" w:rsidTr="00997D7F">
        <w:tc>
          <w:tcPr>
            <w:tcW w:w="918" w:type="dxa"/>
          </w:tcPr>
          <w:p w:rsidR="002B41EF" w:rsidRDefault="002B41EF" w:rsidP="00C0289F">
            <w:pPr>
              <w:jc w:val="both"/>
              <w:rPr>
                <w:rFonts w:ascii="Sylfaen" w:hAnsi="Sylfaen"/>
                <w:lang w:val="ka-GE"/>
              </w:rPr>
            </w:pPr>
          </w:p>
          <w:p w:rsidR="00C90F5C" w:rsidRPr="00C90F5C" w:rsidRDefault="00C90F5C" w:rsidP="00C0289F">
            <w:pPr>
              <w:jc w:val="both"/>
              <w:rPr>
                <w:rFonts w:ascii="Sylfaen" w:hAnsi="Sylfaen"/>
                <w:lang w:val="ka-GE"/>
              </w:rPr>
            </w:pPr>
            <w:r>
              <w:rPr>
                <w:rFonts w:ascii="Sylfaen" w:hAnsi="Sylfaen"/>
                <w:lang w:val="ka-GE"/>
              </w:rPr>
              <w:t>4.3.</w:t>
            </w:r>
          </w:p>
        </w:tc>
        <w:tc>
          <w:tcPr>
            <w:tcW w:w="2037" w:type="dxa"/>
          </w:tcPr>
          <w:p w:rsidR="00C90F5C" w:rsidRPr="00551E96" w:rsidRDefault="00C90F5C" w:rsidP="00C90F5C">
            <w:pPr>
              <w:jc w:val="both"/>
              <w:rPr>
                <w:rFonts w:ascii="Sylfaen" w:hAnsi="Sylfaen"/>
                <w:lang w:val="ka-GE"/>
              </w:rPr>
            </w:pPr>
            <w:r w:rsidRPr="00C90F5C">
              <w:rPr>
                <w:rFonts w:ascii="Sylfaen" w:hAnsi="Sylfaen"/>
                <w:lang w:val="ka-GE"/>
              </w:rPr>
              <w:t xml:space="preserve">ამ </w:t>
            </w:r>
            <w:r>
              <w:rPr>
                <w:rFonts w:ascii="Sylfaen" w:hAnsi="Sylfaen"/>
                <w:lang w:val="ka-GE"/>
              </w:rPr>
              <w:t>მუხლის</w:t>
            </w:r>
            <w:r w:rsidRPr="00C90F5C">
              <w:rPr>
                <w:rFonts w:ascii="Sylfaen" w:hAnsi="Sylfaen"/>
                <w:lang w:val="ka-GE"/>
              </w:rPr>
              <w:t xml:space="preserve"> გამოყენების პროცედურები განისაზღვრება წევრი სახელმწიფოების და/ან სოციალური პარტნიორების მიერ ვეროკავშირის სამართლებრივი ნორმებისა და ცალკეული სახელმწიფოებრივი საკანონმდებლო და კოლექტიური ხელშეკრულებების დებულებებისა </w:t>
            </w:r>
            <w:r w:rsidRPr="00C90F5C">
              <w:rPr>
                <w:rFonts w:ascii="Sylfaen" w:hAnsi="Sylfaen"/>
                <w:lang w:val="ka-GE"/>
              </w:rPr>
              <w:lastRenderedPageBreak/>
              <w:t>და პრაქტიკის გათვალისწინებით.</w:t>
            </w:r>
          </w:p>
        </w:tc>
        <w:tc>
          <w:tcPr>
            <w:tcW w:w="357" w:type="dxa"/>
          </w:tcPr>
          <w:p w:rsidR="00C90F5C" w:rsidRDefault="00C90F5C" w:rsidP="00440666">
            <w:pPr>
              <w:jc w:val="both"/>
              <w:rPr>
                <w:rFonts w:ascii="Sylfaen" w:hAnsi="Sylfaen"/>
                <w:lang w:val="ka-GE"/>
              </w:rPr>
            </w:pPr>
          </w:p>
        </w:tc>
        <w:tc>
          <w:tcPr>
            <w:tcW w:w="666" w:type="dxa"/>
          </w:tcPr>
          <w:p w:rsidR="00C90F5C" w:rsidRDefault="00C90F5C" w:rsidP="00440666">
            <w:pPr>
              <w:jc w:val="both"/>
              <w:rPr>
                <w:rFonts w:ascii="Sylfaen" w:hAnsi="Sylfaen"/>
                <w:lang w:val="ka-GE"/>
              </w:rPr>
            </w:pPr>
          </w:p>
        </w:tc>
        <w:tc>
          <w:tcPr>
            <w:tcW w:w="3420" w:type="dxa"/>
          </w:tcPr>
          <w:p w:rsidR="00C90F5C" w:rsidRPr="00A00989" w:rsidRDefault="00C90F5C" w:rsidP="00440666">
            <w:pPr>
              <w:jc w:val="both"/>
              <w:rPr>
                <w:rFonts w:ascii="Sylfaen" w:hAnsi="Sylfaen"/>
                <w:lang w:val="ka-GE"/>
              </w:rPr>
            </w:pPr>
          </w:p>
        </w:tc>
        <w:tc>
          <w:tcPr>
            <w:tcW w:w="630" w:type="dxa"/>
          </w:tcPr>
          <w:p w:rsidR="00C90F5C" w:rsidRDefault="000B29A1" w:rsidP="00440666">
            <w:pPr>
              <w:jc w:val="both"/>
              <w:rPr>
                <w:rFonts w:ascii="Sylfaen" w:hAnsi="Sylfaen"/>
                <w:lang w:val="ka-GE"/>
              </w:rPr>
            </w:pPr>
            <w:r>
              <w:rPr>
                <w:rFonts w:ascii="Sylfaen" w:hAnsi="Sylfaen"/>
                <w:lang w:val="ka-GE"/>
              </w:rPr>
              <w:t>შ</w:t>
            </w:r>
          </w:p>
        </w:tc>
        <w:tc>
          <w:tcPr>
            <w:tcW w:w="4950" w:type="dxa"/>
          </w:tcPr>
          <w:p w:rsidR="00C90F5C" w:rsidRPr="00340AED" w:rsidRDefault="000B29A1" w:rsidP="00440666">
            <w:pPr>
              <w:jc w:val="both"/>
              <w:rPr>
                <w:rFonts w:ascii="Sylfaen" w:hAnsi="Sylfaen"/>
                <w:lang w:val="ka-GE"/>
              </w:rPr>
            </w:pPr>
            <w:r>
              <w:rPr>
                <w:rFonts w:ascii="Sylfaen" w:hAnsi="Sylfaen"/>
                <w:lang w:val="ka-GE"/>
              </w:rPr>
              <w:t>იხ.პუნქტი 4.2.</w:t>
            </w:r>
          </w:p>
        </w:tc>
      </w:tr>
      <w:tr w:rsidR="00C90F5C" w:rsidRPr="00381570" w:rsidTr="00997D7F">
        <w:tc>
          <w:tcPr>
            <w:tcW w:w="918" w:type="dxa"/>
          </w:tcPr>
          <w:p w:rsidR="00C90F5C" w:rsidRDefault="00C90F5C" w:rsidP="00C0289F">
            <w:pPr>
              <w:jc w:val="both"/>
              <w:rPr>
                <w:rFonts w:ascii="Sylfaen" w:hAnsi="Sylfaen"/>
                <w:lang w:val="ka-GE"/>
              </w:rPr>
            </w:pPr>
            <w:r>
              <w:rPr>
                <w:rFonts w:ascii="Sylfaen" w:hAnsi="Sylfaen"/>
                <w:lang w:val="ka-GE"/>
              </w:rPr>
              <w:lastRenderedPageBreak/>
              <w:t>4.4.</w:t>
            </w:r>
          </w:p>
        </w:tc>
        <w:tc>
          <w:tcPr>
            <w:tcW w:w="2037" w:type="dxa"/>
          </w:tcPr>
          <w:p w:rsidR="00C90F5C" w:rsidRPr="00C90F5C" w:rsidRDefault="00C90F5C" w:rsidP="00C90F5C">
            <w:pPr>
              <w:jc w:val="both"/>
              <w:rPr>
                <w:rFonts w:ascii="Sylfaen" w:hAnsi="Sylfaen"/>
                <w:lang w:val="ka-GE"/>
              </w:rPr>
            </w:pPr>
            <w:r w:rsidRPr="00C90F5C">
              <w:rPr>
                <w:rFonts w:ascii="Sylfaen" w:hAnsi="Sylfaen"/>
                <w:lang w:val="ka-GE"/>
              </w:rPr>
              <w:t xml:space="preserve">იქ, სადაც ეს გამართლებულია ობიექტური მიზეზებით, წევრ სახელმწიფოებს სოციალურ პარტნიორებთან კონსულტაციების შემდეგ და/ან სოციალურ პარტნიორებს ცალკეული სახელმწიფოებრივი ნორმების, კოლექტიური ხელშეკრულებების ან პრაქტიკის შესაბამისად  შეუძლიათ, საჭიროების შემთხვევაში, განსაზღვრულ (ზოგიერთ) საქმიანობის (შრომის) პირობებზე წვდომა დამოკიდებული გახადონ შრომით </w:t>
            </w:r>
            <w:r w:rsidRPr="00C90F5C">
              <w:rPr>
                <w:rFonts w:ascii="Sylfaen" w:hAnsi="Sylfaen"/>
                <w:lang w:val="ka-GE"/>
              </w:rPr>
              <w:lastRenderedPageBreak/>
              <w:t xml:space="preserve">სტაჟზე, სამუშაო დროზე ან ხელფასზე. არასრული სამუშაო განაკვეთის კრიტერიუმები განსაზღვრულ საქმიანობის (შრომის) პირობების შესახებ უნდა შემოწმდეს რეგულარულად მე-4 </w:t>
            </w:r>
            <w:r>
              <w:rPr>
                <w:rFonts w:ascii="Sylfaen" w:hAnsi="Sylfaen"/>
                <w:lang w:val="ka-GE"/>
              </w:rPr>
              <w:t>მუხლის</w:t>
            </w:r>
            <w:r w:rsidRPr="00C90F5C">
              <w:rPr>
                <w:rFonts w:ascii="Sylfaen" w:hAnsi="Sylfaen"/>
                <w:lang w:val="ka-GE"/>
              </w:rPr>
              <w:t xml:space="preserve"> პირველ პუნქტში დასახელებული დისკრიმინაციის აკრძალვის პრინციპის გათვალისწინებით.</w:t>
            </w:r>
          </w:p>
        </w:tc>
        <w:tc>
          <w:tcPr>
            <w:tcW w:w="357" w:type="dxa"/>
          </w:tcPr>
          <w:p w:rsidR="00C90F5C" w:rsidRDefault="00C90F5C" w:rsidP="00440666">
            <w:pPr>
              <w:jc w:val="both"/>
              <w:rPr>
                <w:rFonts w:ascii="Sylfaen" w:hAnsi="Sylfaen"/>
                <w:lang w:val="ka-GE"/>
              </w:rPr>
            </w:pPr>
          </w:p>
        </w:tc>
        <w:tc>
          <w:tcPr>
            <w:tcW w:w="666" w:type="dxa"/>
          </w:tcPr>
          <w:p w:rsidR="00C90F5C" w:rsidRDefault="00C90F5C" w:rsidP="00440666">
            <w:pPr>
              <w:jc w:val="both"/>
              <w:rPr>
                <w:rFonts w:ascii="Sylfaen" w:hAnsi="Sylfaen"/>
                <w:lang w:val="ka-GE"/>
              </w:rPr>
            </w:pPr>
          </w:p>
        </w:tc>
        <w:tc>
          <w:tcPr>
            <w:tcW w:w="3420" w:type="dxa"/>
          </w:tcPr>
          <w:p w:rsidR="00C90F5C" w:rsidRPr="00A00989" w:rsidRDefault="00C90F5C" w:rsidP="00440666">
            <w:pPr>
              <w:jc w:val="both"/>
              <w:rPr>
                <w:rFonts w:ascii="Sylfaen" w:hAnsi="Sylfaen"/>
                <w:lang w:val="ka-GE"/>
              </w:rPr>
            </w:pPr>
          </w:p>
        </w:tc>
        <w:tc>
          <w:tcPr>
            <w:tcW w:w="630" w:type="dxa"/>
          </w:tcPr>
          <w:p w:rsidR="00C90F5C" w:rsidRDefault="000B29A1" w:rsidP="00440666">
            <w:pPr>
              <w:jc w:val="both"/>
              <w:rPr>
                <w:rFonts w:ascii="Sylfaen" w:hAnsi="Sylfaen"/>
                <w:lang w:val="ka-GE"/>
              </w:rPr>
            </w:pPr>
            <w:r>
              <w:rPr>
                <w:rFonts w:ascii="Sylfaen" w:hAnsi="Sylfaen"/>
                <w:lang w:val="ka-GE"/>
              </w:rPr>
              <w:t>შ</w:t>
            </w:r>
          </w:p>
        </w:tc>
        <w:tc>
          <w:tcPr>
            <w:tcW w:w="4950" w:type="dxa"/>
          </w:tcPr>
          <w:p w:rsidR="00C90F5C" w:rsidRPr="00340AED" w:rsidRDefault="000B29A1" w:rsidP="00440666">
            <w:pPr>
              <w:jc w:val="both"/>
              <w:rPr>
                <w:rFonts w:ascii="Sylfaen" w:hAnsi="Sylfaen"/>
                <w:lang w:val="ka-GE"/>
              </w:rPr>
            </w:pPr>
            <w:r>
              <w:rPr>
                <w:rFonts w:ascii="Sylfaen" w:hAnsi="Sylfaen"/>
                <w:lang w:val="ka-GE"/>
              </w:rPr>
              <w:t>იხ.პუნქტი 4.2.</w:t>
            </w:r>
          </w:p>
        </w:tc>
      </w:tr>
      <w:tr w:rsidR="00D51A1F" w:rsidRPr="00381570" w:rsidTr="00997D7F">
        <w:tc>
          <w:tcPr>
            <w:tcW w:w="918" w:type="dxa"/>
          </w:tcPr>
          <w:p w:rsidR="00D51A1F" w:rsidRDefault="00D51A1F" w:rsidP="00D51A1F">
            <w:pPr>
              <w:jc w:val="both"/>
              <w:rPr>
                <w:rFonts w:ascii="Sylfaen" w:hAnsi="Sylfaen"/>
                <w:lang w:val="ka-GE"/>
              </w:rPr>
            </w:pPr>
            <w:r>
              <w:rPr>
                <w:rFonts w:ascii="Sylfaen" w:hAnsi="Sylfaen"/>
                <w:lang w:val="ka-GE"/>
              </w:rPr>
              <w:lastRenderedPageBreak/>
              <w:t>5.1.</w:t>
            </w:r>
          </w:p>
        </w:tc>
        <w:tc>
          <w:tcPr>
            <w:tcW w:w="2037" w:type="dxa"/>
          </w:tcPr>
          <w:p w:rsidR="00D51A1F" w:rsidRPr="00C4413D" w:rsidRDefault="00D51A1F" w:rsidP="00D51A1F">
            <w:pPr>
              <w:jc w:val="both"/>
              <w:rPr>
                <w:rFonts w:ascii="Sylfaen" w:hAnsi="Sylfaen"/>
                <w:lang w:val="ka-GE"/>
              </w:rPr>
            </w:pPr>
            <w:r w:rsidRPr="00C4413D">
              <w:rPr>
                <w:rFonts w:ascii="Sylfaen" w:hAnsi="Sylfaen"/>
                <w:lang w:val="ka-GE"/>
              </w:rPr>
              <w:t xml:space="preserve">წინამდებარე შეთანხმების პირველი </w:t>
            </w:r>
            <w:r>
              <w:rPr>
                <w:rFonts w:ascii="Sylfaen" w:hAnsi="Sylfaen"/>
                <w:lang w:val="ka-GE"/>
              </w:rPr>
              <w:t xml:space="preserve">მუხლის </w:t>
            </w:r>
            <w:r w:rsidRPr="00C4413D">
              <w:rPr>
                <w:rFonts w:ascii="Sylfaen" w:hAnsi="Sylfaen"/>
                <w:lang w:val="ka-GE"/>
              </w:rPr>
              <w:t xml:space="preserve">ფარგლებში და არასრულ სამუშაო განაკვეთზე და სრულ განაკვეთზე დასაქმებულთა </w:t>
            </w:r>
            <w:r w:rsidRPr="00C4413D">
              <w:rPr>
                <w:rFonts w:ascii="Sylfaen" w:hAnsi="Sylfaen"/>
                <w:lang w:val="ka-GE"/>
              </w:rPr>
              <w:lastRenderedPageBreak/>
              <w:t>დისკრიმინაციის აკრძალვის პრინციპის შესაბამისად:</w:t>
            </w:r>
          </w:p>
          <w:p w:rsidR="00D51A1F" w:rsidRPr="00C4413D" w:rsidRDefault="00D51A1F" w:rsidP="00D51A1F">
            <w:pPr>
              <w:jc w:val="both"/>
              <w:rPr>
                <w:rFonts w:ascii="Sylfaen" w:hAnsi="Sylfaen"/>
                <w:lang w:val="ka-GE"/>
              </w:rPr>
            </w:pPr>
            <w:r w:rsidRPr="00C4413D">
              <w:rPr>
                <w:rFonts w:ascii="Sylfaen" w:hAnsi="Sylfaen"/>
                <w:lang w:val="ka-GE"/>
              </w:rPr>
              <w:t xml:space="preserve">ა) წევრმა სახელმწიფოებმა სოციალურ პარტნიორებთან კონსულტაციის შემდეგ ცალკეული სახელმწიფოებრივი ნორმების ან პრაქტიკის შესაბამისად უნდა უზრუნველყონ იმ სამართლებრივი  ან ადმინისტრაციულ-ტექნიკური ხასიათის დაბრკოლებების იდენტიფიცირება და შემოწმება და საჭიროების შემთხვევაში აღმოფხვრა, რომლებსაც შეუძლიათ შეზღუდონ </w:t>
            </w:r>
            <w:r w:rsidRPr="00C4413D">
              <w:rPr>
                <w:rFonts w:ascii="Sylfaen" w:hAnsi="Sylfaen"/>
                <w:lang w:val="ka-GE"/>
              </w:rPr>
              <w:lastRenderedPageBreak/>
              <w:t>არასრულ სამუშაო განაკვეთზე დასაქმება.</w:t>
            </w:r>
          </w:p>
          <w:p w:rsidR="00D51A1F" w:rsidRPr="00477075" w:rsidRDefault="00D51A1F" w:rsidP="00D51A1F">
            <w:pPr>
              <w:jc w:val="both"/>
              <w:rPr>
                <w:rFonts w:ascii="Sylfaen" w:hAnsi="Sylfaen"/>
                <w:lang w:val="ka-GE"/>
              </w:rPr>
            </w:pPr>
            <w:r w:rsidRPr="00C4413D">
              <w:rPr>
                <w:rFonts w:ascii="Sylfaen" w:hAnsi="Sylfaen"/>
                <w:lang w:val="ka-GE"/>
              </w:rPr>
              <w:t xml:space="preserve">ბ) სოციალურმა პარტნიორებმა მათი კომპეტენციის ფარგლებში კოლექტიური ხელშეკრულებებით გათვალისწინებული პროცედურების შესაბამისად უნდა უზრუნველყონ იმ სამართლებრივი  ან ადმინისტრაციულ-ტექნიკური ხასიათის დაბრკოლებების იდენტიფიცირება და შემოწმება და საჭიროების შემთხვევაში აღმოფხვრა, რომლებსაც შეუძლიათ </w:t>
            </w:r>
            <w:r w:rsidRPr="00C4413D">
              <w:rPr>
                <w:rFonts w:ascii="Sylfaen" w:hAnsi="Sylfaen"/>
                <w:lang w:val="ka-GE"/>
              </w:rPr>
              <w:lastRenderedPageBreak/>
              <w:t>შეზღუდონ არასრულ სამუშაო განაკვეთზე დასაქმება.</w:t>
            </w:r>
          </w:p>
        </w:tc>
        <w:tc>
          <w:tcPr>
            <w:tcW w:w="357" w:type="dxa"/>
          </w:tcPr>
          <w:p w:rsidR="00D51A1F" w:rsidRDefault="00D51A1F" w:rsidP="00D51A1F">
            <w:pPr>
              <w:jc w:val="both"/>
              <w:rPr>
                <w:rFonts w:ascii="Sylfaen" w:hAnsi="Sylfaen"/>
                <w:lang w:val="ka-GE"/>
              </w:rPr>
            </w:pPr>
          </w:p>
        </w:tc>
        <w:tc>
          <w:tcPr>
            <w:tcW w:w="666" w:type="dxa"/>
          </w:tcPr>
          <w:p w:rsidR="00D51A1F" w:rsidRPr="0091360E" w:rsidRDefault="00D51A1F" w:rsidP="00D51A1F">
            <w:pPr>
              <w:pStyle w:val="BodyText"/>
              <w:spacing w:line="244" w:lineRule="auto"/>
              <w:ind w:right="108"/>
              <w:jc w:val="both"/>
              <w:rPr>
                <w:sz w:val="18"/>
                <w:szCs w:val="18"/>
                <w:lang w:val="ka-GE"/>
              </w:rPr>
            </w:pPr>
            <w:r w:rsidRPr="0091360E">
              <w:rPr>
                <w:sz w:val="18"/>
                <w:szCs w:val="18"/>
                <w:lang w:val="ka-GE"/>
              </w:rPr>
              <w:t>8</w:t>
            </w:r>
            <w:r w:rsidR="009C45B2">
              <w:rPr>
                <w:sz w:val="18"/>
                <w:szCs w:val="18"/>
                <w:lang w:val="ka-GE"/>
              </w:rPr>
              <w:t>2</w:t>
            </w:r>
            <w:r w:rsidRPr="0091360E">
              <w:rPr>
                <w:sz w:val="18"/>
                <w:szCs w:val="18"/>
                <w:lang w:val="ka-GE"/>
              </w:rPr>
              <w:t>.1</w:t>
            </w:r>
          </w:p>
          <w:p w:rsidR="00D51A1F" w:rsidRPr="0091360E" w:rsidRDefault="00D51A1F" w:rsidP="00D51A1F">
            <w:pPr>
              <w:pStyle w:val="BodyText"/>
              <w:spacing w:line="244" w:lineRule="auto"/>
              <w:ind w:right="108"/>
              <w:jc w:val="both"/>
              <w:rPr>
                <w:sz w:val="20"/>
                <w:szCs w:val="20"/>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sz w:val="18"/>
                <w:szCs w:val="18"/>
                <w:lang w:val="ka-GE"/>
              </w:rPr>
            </w:pPr>
            <w:r w:rsidRPr="0091360E">
              <w:rPr>
                <w:sz w:val="18"/>
                <w:szCs w:val="18"/>
                <w:lang w:val="ka-GE"/>
              </w:rPr>
              <w:t>8</w:t>
            </w:r>
            <w:r w:rsidR="009C45B2">
              <w:rPr>
                <w:sz w:val="18"/>
                <w:szCs w:val="18"/>
                <w:lang w:val="ka-GE"/>
              </w:rPr>
              <w:t>2</w:t>
            </w:r>
            <w:r w:rsidRPr="0091360E">
              <w:rPr>
                <w:sz w:val="18"/>
                <w:szCs w:val="18"/>
                <w:lang w:val="ka-GE"/>
              </w:rPr>
              <w:t>.2</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2</w:t>
            </w:r>
            <w:r>
              <w:rPr>
                <w:sz w:val="18"/>
                <w:szCs w:val="18"/>
                <w:lang w:val="ka-GE"/>
              </w:rPr>
              <w:t>.3</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lastRenderedPageBreak/>
              <w:t>8</w:t>
            </w:r>
            <w:r w:rsidR="009C45B2">
              <w:rPr>
                <w:sz w:val="18"/>
                <w:szCs w:val="18"/>
                <w:lang w:val="ka-GE"/>
              </w:rPr>
              <w:t>2</w:t>
            </w:r>
            <w:r>
              <w:rPr>
                <w:sz w:val="18"/>
                <w:szCs w:val="18"/>
                <w:lang w:val="ka-GE"/>
              </w:rPr>
              <w:t>.4</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2</w:t>
            </w:r>
            <w:r>
              <w:rPr>
                <w:sz w:val="18"/>
                <w:szCs w:val="18"/>
                <w:lang w:val="ka-GE"/>
              </w:rPr>
              <w:t>.5</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2</w:t>
            </w:r>
            <w:r>
              <w:rPr>
                <w:sz w:val="18"/>
                <w:szCs w:val="18"/>
                <w:lang w:val="ka-GE"/>
              </w:rPr>
              <w:t>.6</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2</w:t>
            </w:r>
            <w:r>
              <w:rPr>
                <w:sz w:val="18"/>
                <w:szCs w:val="18"/>
                <w:lang w:val="ka-GE"/>
              </w:rPr>
              <w:t>.7</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9C45B2" w:rsidRDefault="009C45B2"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3</w:t>
            </w:r>
            <w:r>
              <w:rPr>
                <w:sz w:val="18"/>
                <w:szCs w:val="18"/>
                <w:lang w:val="ka-GE"/>
              </w:rPr>
              <w:t>.1</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3</w:t>
            </w:r>
            <w:r>
              <w:rPr>
                <w:sz w:val="18"/>
                <w:szCs w:val="18"/>
                <w:lang w:val="ka-GE"/>
              </w:rPr>
              <w:t>.2</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3</w:t>
            </w:r>
            <w:r>
              <w:rPr>
                <w:sz w:val="18"/>
                <w:szCs w:val="18"/>
                <w:lang w:val="ka-GE"/>
              </w:rPr>
              <w:t>.3</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4</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Pr="0091360E" w:rsidRDefault="00D51A1F" w:rsidP="00D51A1F">
            <w:pPr>
              <w:pStyle w:val="BodyText"/>
              <w:spacing w:line="244" w:lineRule="auto"/>
              <w:ind w:right="108"/>
              <w:jc w:val="both"/>
              <w:rPr>
                <w:sz w:val="18"/>
                <w:szCs w:val="18"/>
                <w:lang w:val="ka-GE"/>
              </w:rPr>
            </w:pPr>
          </w:p>
          <w:p w:rsidR="00D51A1F" w:rsidRPr="0091360E"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9C45B2" w:rsidRDefault="009C45B2" w:rsidP="00D51A1F">
            <w:pPr>
              <w:pStyle w:val="BodyText"/>
              <w:spacing w:line="244" w:lineRule="auto"/>
              <w:ind w:right="108"/>
              <w:jc w:val="both"/>
              <w:rPr>
                <w:sz w:val="18"/>
                <w:szCs w:val="18"/>
                <w:lang w:val="ka-GE"/>
              </w:rPr>
            </w:pPr>
          </w:p>
          <w:p w:rsidR="009C45B2" w:rsidRDefault="009C45B2" w:rsidP="00D51A1F">
            <w:pPr>
              <w:pStyle w:val="BodyText"/>
              <w:spacing w:line="244" w:lineRule="auto"/>
              <w:ind w:right="108"/>
              <w:jc w:val="both"/>
              <w:rPr>
                <w:sz w:val="18"/>
                <w:szCs w:val="18"/>
                <w:lang w:val="ka-GE"/>
              </w:rPr>
            </w:pPr>
          </w:p>
          <w:p w:rsidR="00D51A1F" w:rsidRPr="0091360E" w:rsidRDefault="00D51A1F" w:rsidP="00D51A1F">
            <w:pPr>
              <w:pStyle w:val="BodyText"/>
              <w:spacing w:line="244" w:lineRule="auto"/>
              <w:ind w:right="108"/>
              <w:jc w:val="both"/>
              <w:rPr>
                <w:sz w:val="18"/>
                <w:szCs w:val="18"/>
                <w:lang w:val="ka-GE"/>
              </w:rPr>
            </w:pPr>
            <w:r w:rsidRPr="0091360E">
              <w:rPr>
                <w:sz w:val="18"/>
                <w:szCs w:val="18"/>
                <w:lang w:val="ka-GE"/>
              </w:rPr>
              <w:t>8</w:t>
            </w:r>
            <w:r w:rsidR="009C45B2">
              <w:rPr>
                <w:sz w:val="18"/>
                <w:szCs w:val="18"/>
                <w:lang w:val="ka-GE"/>
              </w:rPr>
              <w:t>5</w:t>
            </w:r>
            <w:r w:rsidRPr="0091360E">
              <w:rPr>
                <w:sz w:val="18"/>
                <w:szCs w:val="18"/>
                <w:lang w:val="ka-GE"/>
              </w:rPr>
              <w:t>.1</w:t>
            </w: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sz w:val="18"/>
                <w:szCs w:val="18"/>
                <w:lang w:val="ka-GE"/>
              </w:rPr>
            </w:pPr>
            <w:r w:rsidRPr="00280EF9">
              <w:rPr>
                <w:sz w:val="18"/>
                <w:szCs w:val="18"/>
                <w:lang w:val="ka-GE"/>
              </w:rPr>
              <w:t>8</w:t>
            </w:r>
            <w:r w:rsidR="009C45B2">
              <w:rPr>
                <w:sz w:val="18"/>
                <w:szCs w:val="18"/>
                <w:lang w:val="ka-GE"/>
              </w:rPr>
              <w:t>5</w:t>
            </w:r>
            <w:r w:rsidRPr="00280EF9">
              <w:rPr>
                <w:sz w:val="18"/>
                <w:szCs w:val="18"/>
                <w:lang w:val="ka-GE"/>
              </w:rPr>
              <w:t>.2</w:t>
            </w: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sz w:val="18"/>
                <w:szCs w:val="18"/>
                <w:lang w:val="ka-GE"/>
              </w:rPr>
            </w:pPr>
          </w:p>
          <w:p w:rsidR="00D51A1F" w:rsidRPr="00280EF9" w:rsidRDefault="00D51A1F" w:rsidP="00D51A1F">
            <w:pPr>
              <w:pStyle w:val="BodyText"/>
              <w:spacing w:line="244" w:lineRule="auto"/>
              <w:ind w:right="108"/>
              <w:jc w:val="both"/>
              <w:rPr>
                <w:sz w:val="18"/>
                <w:szCs w:val="18"/>
                <w:lang w:val="ka-GE"/>
              </w:rPr>
            </w:pPr>
            <w:r>
              <w:rPr>
                <w:sz w:val="18"/>
                <w:szCs w:val="18"/>
                <w:lang w:val="ka-GE"/>
              </w:rPr>
              <w:t>8</w:t>
            </w:r>
            <w:r w:rsidR="009C45B2">
              <w:rPr>
                <w:sz w:val="18"/>
                <w:szCs w:val="18"/>
                <w:lang w:val="ka-GE"/>
              </w:rPr>
              <w:t>5</w:t>
            </w:r>
            <w:r>
              <w:rPr>
                <w:sz w:val="18"/>
                <w:szCs w:val="18"/>
                <w:lang w:val="ka-GE"/>
              </w:rPr>
              <w:t>.3</w:t>
            </w: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Pr="00280EF9" w:rsidRDefault="00D51A1F" w:rsidP="00D51A1F">
            <w:pPr>
              <w:pStyle w:val="BodyText"/>
              <w:spacing w:line="244" w:lineRule="auto"/>
              <w:ind w:right="108"/>
              <w:jc w:val="both"/>
              <w:rPr>
                <w:sz w:val="18"/>
                <w:szCs w:val="18"/>
                <w:lang w:val="ka-GE"/>
              </w:rPr>
            </w:pPr>
            <w:r w:rsidRPr="00280EF9">
              <w:rPr>
                <w:sz w:val="18"/>
                <w:szCs w:val="18"/>
                <w:lang w:val="ka-GE"/>
              </w:rPr>
              <w:t>8</w:t>
            </w:r>
            <w:r w:rsidR="009C45B2">
              <w:rPr>
                <w:sz w:val="18"/>
                <w:szCs w:val="18"/>
                <w:lang w:val="ka-GE"/>
              </w:rPr>
              <w:t>5</w:t>
            </w:r>
            <w:r w:rsidRPr="00280EF9">
              <w:rPr>
                <w:sz w:val="18"/>
                <w:szCs w:val="18"/>
                <w:lang w:val="ka-GE"/>
              </w:rPr>
              <w:t>.4</w:t>
            </w:r>
          </w:p>
          <w:p w:rsidR="00D51A1F" w:rsidRPr="00280EF9" w:rsidRDefault="00D51A1F" w:rsidP="00D51A1F">
            <w:pPr>
              <w:pStyle w:val="BodyText"/>
              <w:spacing w:line="244" w:lineRule="auto"/>
              <w:ind w:right="108"/>
              <w:jc w:val="both"/>
              <w:rPr>
                <w:sz w:val="18"/>
                <w:szCs w:val="18"/>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p w:rsidR="00D51A1F" w:rsidRDefault="00D51A1F" w:rsidP="00D51A1F">
            <w:pPr>
              <w:pStyle w:val="BodyText"/>
              <w:spacing w:line="244" w:lineRule="auto"/>
              <w:ind w:right="108"/>
              <w:jc w:val="both"/>
              <w:rPr>
                <w:lang w:val="ka-GE"/>
              </w:rPr>
            </w:pPr>
          </w:p>
        </w:tc>
        <w:tc>
          <w:tcPr>
            <w:tcW w:w="3420" w:type="dxa"/>
          </w:tcPr>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w:t>
            </w:r>
            <w:r w:rsidRPr="00D51A1F">
              <w:rPr>
                <w:sz w:val="22"/>
                <w:szCs w:val="22"/>
                <w:lang w:val="ka-GE"/>
              </w:rPr>
              <w:lastRenderedPageBreak/>
              <w:t>მინისტრის  წინაშე.</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სამმხრივი კომისია საქმიანობისას ხელმძღვანელობს </w:t>
            </w:r>
            <w:hyperlink r:id="rId6" w:tooltip="საქართველოს კონსტიტუცია" w:history="1">
              <w:r w:rsidRPr="00D51A1F">
                <w:rPr>
                  <w:sz w:val="22"/>
                  <w:szCs w:val="22"/>
                  <w:lang w:val="ka-GE"/>
                </w:rPr>
                <w:t>საქართველოს კონსტიტუციით</w:t>
              </w:r>
            </w:hyperlink>
            <w:r w:rsidRPr="00D51A1F">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lastRenderedPageBreak/>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 xml:space="preserve">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w:t>
            </w:r>
            <w:r w:rsidRPr="00D51A1F">
              <w:rPr>
                <w:sz w:val="22"/>
                <w:szCs w:val="22"/>
                <w:lang w:val="ka-GE"/>
              </w:rPr>
              <w:lastRenderedPageBreak/>
              <w:t>თავმჯდომარეს წარუდგენენ კომისიის დანარჩენ 5-5 წევრს.</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ბ) საქართველოს იუსტიციის სამინისტრო;</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გ) საქართველოს ეკონომიკისა და მდგრადი განვითარების სამინისტრო;</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დ) საქართველოს რეგიონული განვითარებისა და ინფრასტრუქტურის სამინისტრო;</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ე) საქართველოს განათლების, მეცნიერების, კულტურისა და სპორტის სამინისტრო.</w:t>
            </w:r>
          </w:p>
          <w:p w:rsidR="00D51A1F" w:rsidRPr="00D51A1F" w:rsidRDefault="00D51A1F" w:rsidP="00D51A1F">
            <w:pPr>
              <w:pStyle w:val="BodyText"/>
              <w:spacing w:line="244" w:lineRule="auto"/>
              <w:ind w:left="146"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 xml:space="preserve">სოციალური პარტნიორობა </w:t>
            </w:r>
            <w:r w:rsidRPr="00D51A1F">
              <w:rPr>
                <w:sz w:val="22"/>
                <w:szCs w:val="22"/>
                <w:lang w:val="ka-GE"/>
              </w:rPr>
              <w:lastRenderedPageBreak/>
              <w:t>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სამმხრივი კომისიის საქმიანობა ეფუძნება შემდეგ პრინციპებს:</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ა) მხარეთა თანასწორობა და დამოუკიდებლობა;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ბ) სოციალური პარტნიორის ინტერესების პატივისცემა;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გ) ნდობა და კეთილსინდისიერება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დ) კოორდინაცია და პასუხისმგებლობა;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დ) ინფორმირებულობა;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ე) ვალდებულებათა შესრულება;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ვ) ტრიპარტიზმი;</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ზ) კონსენსუსი.</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D51A1F" w:rsidRPr="00D51A1F" w:rsidRDefault="00D51A1F" w:rsidP="00D51A1F">
            <w:pPr>
              <w:pStyle w:val="BodyText"/>
              <w:spacing w:line="244" w:lineRule="auto"/>
              <w:ind w:left="146" w:right="108"/>
              <w:jc w:val="both"/>
              <w:rPr>
                <w:sz w:val="22"/>
                <w:szCs w:val="22"/>
                <w:lang w:val="ka-GE"/>
              </w:rPr>
            </w:pPr>
            <w:bookmarkStart w:id="0" w:name="part_103"/>
          </w:p>
          <w:bookmarkEnd w:id="0"/>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სამმხრივი კომისიის ფუნქციებია: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w:t>
            </w:r>
            <w:r w:rsidRPr="00D51A1F">
              <w:rPr>
                <w:sz w:val="22"/>
                <w:szCs w:val="22"/>
                <w:lang w:val="ka-GE"/>
              </w:rPr>
              <w:lastRenderedPageBreak/>
              <w:t xml:space="preserve">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D51A1F" w:rsidRPr="00D51A1F" w:rsidRDefault="00D51A1F" w:rsidP="00D51A1F">
            <w:pPr>
              <w:pStyle w:val="BodyText"/>
              <w:spacing w:line="244" w:lineRule="auto"/>
              <w:ind w:left="146" w:right="108"/>
              <w:jc w:val="both"/>
              <w:rPr>
                <w:sz w:val="22"/>
                <w:szCs w:val="22"/>
                <w:lang w:val="ka-GE"/>
              </w:rPr>
            </w:pPr>
            <w:r w:rsidRPr="00D51A1F">
              <w:rPr>
                <w:sz w:val="22"/>
                <w:szCs w:val="22"/>
                <w:lang w:val="ka-GE"/>
              </w:rPr>
              <w:t>   </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 xml:space="preserve">ბ) კომისიის სხდომაზე მოისმინოს მხარეთა ინფორმაციები მისი </w:t>
            </w:r>
            <w:r w:rsidRPr="00D51A1F">
              <w:rPr>
                <w:sz w:val="22"/>
                <w:szCs w:val="22"/>
                <w:lang w:val="ka-GE"/>
              </w:rPr>
              <w:lastRenderedPageBreak/>
              <w:t>კომპეტენციისთვის მიკუთვნებულ საკითხებზე;</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 xml:space="preserve">ე) შეიმუშაოს და დაინტერესებულ პირებს წარუდგინოს წინადადებები მისი კომპეტენციისთვის </w:t>
            </w:r>
            <w:r w:rsidRPr="00D51A1F">
              <w:rPr>
                <w:sz w:val="22"/>
                <w:szCs w:val="22"/>
                <w:lang w:val="ka-GE"/>
              </w:rPr>
              <w:lastRenderedPageBreak/>
              <w:t>მიკუთვნებულ საკითხებზე.</w:t>
            </w:r>
          </w:p>
          <w:p w:rsidR="00D51A1F" w:rsidRPr="00D51A1F" w:rsidRDefault="00D51A1F" w:rsidP="00D51A1F">
            <w:pPr>
              <w:pStyle w:val="BodyText"/>
              <w:spacing w:line="244" w:lineRule="auto"/>
              <w:ind w:right="108"/>
              <w:jc w:val="both"/>
              <w:rPr>
                <w:sz w:val="22"/>
                <w:szCs w:val="22"/>
                <w:lang w:val="ka-GE"/>
              </w:rPr>
            </w:pPr>
          </w:p>
          <w:p w:rsidR="00D51A1F" w:rsidRPr="00D51A1F" w:rsidRDefault="00D51A1F" w:rsidP="00D51A1F">
            <w:pPr>
              <w:pStyle w:val="BodyText"/>
              <w:spacing w:line="244" w:lineRule="auto"/>
              <w:ind w:right="108"/>
              <w:jc w:val="both"/>
              <w:rPr>
                <w:sz w:val="22"/>
                <w:szCs w:val="22"/>
                <w:lang w:val="ka-GE"/>
              </w:rPr>
            </w:pPr>
            <w:r w:rsidRPr="00D51A1F">
              <w:rPr>
                <w:sz w:val="22"/>
                <w:szCs w:val="22"/>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D51A1F" w:rsidRPr="00D51A1F" w:rsidRDefault="00D51A1F" w:rsidP="00D51A1F">
            <w:pPr>
              <w:pStyle w:val="BodyText"/>
              <w:spacing w:line="244" w:lineRule="auto"/>
              <w:ind w:right="108"/>
              <w:jc w:val="both"/>
              <w:rPr>
                <w:sz w:val="22"/>
                <w:szCs w:val="22"/>
                <w:lang w:val="ka-GE"/>
              </w:rPr>
            </w:pPr>
          </w:p>
          <w:p w:rsidR="00D51A1F" w:rsidRPr="00D51A1F" w:rsidRDefault="009C3210" w:rsidP="00D51A1F">
            <w:pPr>
              <w:pStyle w:val="BodyText"/>
              <w:spacing w:line="244" w:lineRule="auto"/>
              <w:ind w:right="108"/>
              <w:jc w:val="both"/>
              <w:rPr>
                <w:sz w:val="22"/>
                <w:szCs w:val="22"/>
                <w:lang w:val="ka-GE"/>
              </w:rPr>
            </w:pPr>
            <w:hyperlink r:id="rId7" w:anchor="DOCUMENT:1;" w:tooltip="სოციალური პარტნიორობის სამმხრივი კომისიის დებულების დამტკიცების შესახებ" w:history="1">
              <w:r w:rsidR="00D51A1F" w:rsidRPr="00D51A1F">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D51A1F" w:rsidRPr="00D51A1F">
              <w:rPr>
                <w:sz w:val="22"/>
                <w:szCs w:val="22"/>
                <w:lang w:val="ka-GE"/>
              </w:rPr>
              <w:t>.</w:t>
            </w:r>
          </w:p>
          <w:p w:rsidR="00D51A1F" w:rsidRPr="00D51A1F" w:rsidRDefault="00D51A1F" w:rsidP="00D51A1F">
            <w:pPr>
              <w:pStyle w:val="BodyText"/>
              <w:spacing w:line="244" w:lineRule="auto"/>
              <w:ind w:right="108"/>
              <w:jc w:val="both"/>
              <w:rPr>
                <w:sz w:val="22"/>
                <w:szCs w:val="22"/>
                <w:lang w:val="ka-GE"/>
              </w:rPr>
            </w:pPr>
          </w:p>
          <w:p w:rsidR="00D51A1F" w:rsidRPr="009A6A9F" w:rsidRDefault="00D51A1F" w:rsidP="009C45B2">
            <w:pPr>
              <w:pStyle w:val="BodyText"/>
              <w:spacing w:line="244" w:lineRule="auto"/>
              <w:ind w:right="108"/>
              <w:jc w:val="both"/>
              <w:rPr>
                <w:lang w:val="ka-GE"/>
              </w:rPr>
            </w:pPr>
            <w:r w:rsidRPr="00D51A1F">
              <w:rPr>
                <w:sz w:val="22"/>
                <w:szCs w:val="22"/>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w:t>
            </w:r>
            <w:r w:rsidRPr="00D51A1F">
              <w:rPr>
                <w:sz w:val="22"/>
                <w:szCs w:val="22"/>
                <w:lang w:val="ka-GE"/>
              </w:rPr>
              <w:lastRenderedPageBreak/>
              <w:t xml:space="preserve">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630" w:type="dxa"/>
          </w:tcPr>
          <w:p w:rsidR="00D51A1F" w:rsidRDefault="005923E0" w:rsidP="00D51A1F">
            <w:pPr>
              <w:jc w:val="both"/>
              <w:rPr>
                <w:rFonts w:ascii="Sylfaen" w:hAnsi="Sylfaen"/>
                <w:lang w:val="ka-GE"/>
              </w:rPr>
            </w:pPr>
            <w:r>
              <w:rPr>
                <w:rFonts w:ascii="Sylfaen" w:hAnsi="Sylfaen"/>
                <w:lang w:val="ka-GE"/>
              </w:rPr>
              <w:lastRenderedPageBreak/>
              <w:t>სშ</w:t>
            </w:r>
          </w:p>
        </w:tc>
        <w:tc>
          <w:tcPr>
            <w:tcW w:w="4950" w:type="dxa"/>
          </w:tcPr>
          <w:p w:rsidR="00D51A1F" w:rsidRPr="00340AED" w:rsidRDefault="0086146F" w:rsidP="00D51A1F">
            <w:pPr>
              <w:jc w:val="both"/>
              <w:rPr>
                <w:rFonts w:ascii="Sylfaen" w:hAnsi="Sylfaen"/>
                <w:lang w:val="ka-GE"/>
              </w:rPr>
            </w:pPr>
            <w:r>
              <w:rPr>
                <w:rFonts w:ascii="Sylfaen" w:hAnsi="Sylfaen"/>
                <w:lang w:val="ka-GE"/>
              </w:rPr>
              <w:t>წარმოდგენული კანონპროექტი ითვალისწინებს სოციალური დიალოგის ფორმატს, სამმხრივი კომისიის სახით, რომლის მანდატი</w:t>
            </w:r>
            <w:r w:rsidR="008E2B7F">
              <w:rPr>
                <w:rFonts w:ascii="Sylfaen" w:hAnsi="Sylfaen"/>
                <w:lang w:val="ka-GE"/>
              </w:rPr>
              <w:t>,</w:t>
            </w:r>
            <w:r>
              <w:rPr>
                <w:rFonts w:ascii="Sylfaen" w:hAnsi="Sylfaen"/>
                <w:lang w:val="ka-GE"/>
              </w:rPr>
              <w:t xml:space="preserve"> ასევე</w:t>
            </w:r>
            <w:r w:rsidR="008E2B7F">
              <w:rPr>
                <w:rFonts w:ascii="Sylfaen" w:hAnsi="Sylfaen"/>
                <w:lang w:val="ka-GE"/>
              </w:rPr>
              <w:t>,</w:t>
            </w:r>
            <w:r>
              <w:rPr>
                <w:rFonts w:ascii="Sylfaen" w:hAnsi="Sylfaen"/>
                <w:lang w:val="ka-GE"/>
              </w:rPr>
              <w:t xml:space="preserve"> მოიცავს სამუშაო დროსთან დაკავშირებული საკითხების განხილვასა და მასზე გადაწყვეტილების მიღებას. </w:t>
            </w:r>
          </w:p>
        </w:tc>
      </w:tr>
      <w:tr w:rsidR="00D51A1F" w:rsidRPr="00381570" w:rsidTr="00997D7F">
        <w:tc>
          <w:tcPr>
            <w:tcW w:w="918" w:type="dxa"/>
          </w:tcPr>
          <w:p w:rsidR="00D51A1F" w:rsidRPr="00340AED" w:rsidRDefault="00D51A1F" w:rsidP="00D51A1F">
            <w:pPr>
              <w:jc w:val="both"/>
              <w:rPr>
                <w:rFonts w:ascii="Sylfaen" w:hAnsi="Sylfaen"/>
                <w:lang w:val="ka-GE"/>
              </w:rPr>
            </w:pPr>
            <w:r>
              <w:rPr>
                <w:rFonts w:ascii="Sylfaen" w:hAnsi="Sylfaen"/>
                <w:lang w:val="ka-GE"/>
              </w:rPr>
              <w:lastRenderedPageBreak/>
              <w:t xml:space="preserve">5.2. </w:t>
            </w:r>
          </w:p>
        </w:tc>
        <w:tc>
          <w:tcPr>
            <w:tcW w:w="2037" w:type="dxa"/>
          </w:tcPr>
          <w:p w:rsidR="00D51A1F" w:rsidRPr="00340AED" w:rsidRDefault="00D51A1F" w:rsidP="00D51A1F">
            <w:pPr>
              <w:jc w:val="both"/>
              <w:rPr>
                <w:rFonts w:ascii="Sylfaen" w:hAnsi="Sylfaen"/>
                <w:lang w:val="ka-GE"/>
              </w:rPr>
            </w:pPr>
            <w:r w:rsidRPr="00477075">
              <w:rPr>
                <w:rFonts w:ascii="Sylfaen" w:hAnsi="Sylfaen"/>
                <w:lang w:val="ka-GE"/>
              </w:rPr>
              <w:t xml:space="preserve">დასაქმებულის უარი სრული სამუშაო განაკვეთიდან არასრულ სამუშაო განაკვეთზე გადაყვანის შესახებ და პირიქით, არ წარმოადგენს შრომითი ხელშეკრულების შეწყვეტის საფუძველს, გარდა იმ შემთხვევისა, </w:t>
            </w:r>
            <w:r w:rsidRPr="00477075">
              <w:rPr>
                <w:rFonts w:ascii="Sylfaen" w:hAnsi="Sylfaen"/>
                <w:lang w:val="ka-GE"/>
              </w:rPr>
              <w:lastRenderedPageBreak/>
              <w:t>როდესაც საკანონმდებლო და კოლექტიური ხელშეკრულებების დებულებების და ეროვნული პრაქტიკის შესაბამისად არსებობს სხვა საფუძვლები, როგორიცაა საწარმოო აუცილებლობა.</w:t>
            </w:r>
          </w:p>
        </w:tc>
        <w:tc>
          <w:tcPr>
            <w:tcW w:w="357" w:type="dxa"/>
          </w:tcPr>
          <w:p w:rsidR="00D51A1F" w:rsidRPr="00340AED" w:rsidRDefault="00D51A1F" w:rsidP="00D51A1F">
            <w:pPr>
              <w:jc w:val="both"/>
              <w:rPr>
                <w:rFonts w:ascii="Sylfaen" w:hAnsi="Sylfaen"/>
                <w:lang w:val="ka-GE"/>
              </w:rPr>
            </w:pPr>
            <w:r>
              <w:rPr>
                <w:rFonts w:ascii="Sylfaen" w:hAnsi="Sylfaen"/>
                <w:lang w:val="ka-GE"/>
              </w:rPr>
              <w:lastRenderedPageBreak/>
              <w:t>1</w:t>
            </w:r>
          </w:p>
        </w:tc>
        <w:tc>
          <w:tcPr>
            <w:tcW w:w="666" w:type="dxa"/>
          </w:tcPr>
          <w:p w:rsidR="00D51A1F" w:rsidRPr="00340AED" w:rsidRDefault="00D51A1F" w:rsidP="00D51A1F">
            <w:pPr>
              <w:jc w:val="both"/>
              <w:rPr>
                <w:rFonts w:ascii="Sylfaen" w:hAnsi="Sylfaen"/>
                <w:lang w:val="ka-GE"/>
              </w:rPr>
            </w:pPr>
            <w:r>
              <w:rPr>
                <w:rFonts w:ascii="Sylfaen" w:hAnsi="Sylfaen"/>
                <w:lang w:val="ka-GE"/>
              </w:rPr>
              <w:t>16.3</w:t>
            </w:r>
          </w:p>
        </w:tc>
        <w:tc>
          <w:tcPr>
            <w:tcW w:w="3420" w:type="dxa"/>
          </w:tcPr>
          <w:p w:rsidR="00D51A1F" w:rsidRPr="009A6A9F" w:rsidRDefault="00D51A1F" w:rsidP="00D51A1F">
            <w:pPr>
              <w:jc w:val="both"/>
              <w:rPr>
                <w:rFonts w:ascii="Sylfaen" w:hAnsi="Sylfaen"/>
                <w:lang w:val="ka-GE"/>
              </w:rPr>
            </w:pPr>
            <w:r w:rsidRPr="009A6A9F">
              <w:rPr>
                <w:rFonts w:ascii="Sylfaen" w:hAnsi="Sylfaen"/>
                <w:lang w:val="ka-GE"/>
              </w:rPr>
              <w:t>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კანონის </w:t>
            </w:r>
            <w:r w:rsidR="008E2B7F">
              <w:rPr>
                <w:lang w:val="ka-GE"/>
              </w:rPr>
              <w:t>47-</w:t>
            </w:r>
            <w:r w:rsidR="008E2B7F">
              <w:rPr>
                <w:rFonts w:ascii="Sylfaen" w:hAnsi="Sylfaen"/>
                <w:lang w:val="ka-GE"/>
              </w:rPr>
              <w:t xml:space="preserve">ე </w:t>
            </w:r>
            <w:r w:rsidRPr="009A6A9F">
              <w:rPr>
                <w:rFonts w:ascii="Sylfaen" w:hAnsi="Sylfaen"/>
                <w:lang w:val="ka-GE"/>
              </w:rPr>
              <w:t xml:space="preserve">მუხლის პირველი პუნქტის „ა“ ქვეპუნქტის </w:t>
            </w:r>
            <w:r w:rsidRPr="009A6A9F">
              <w:rPr>
                <w:rFonts w:ascii="Sylfaen" w:hAnsi="Sylfaen"/>
                <w:lang w:val="ka-GE"/>
              </w:rPr>
              <w:lastRenderedPageBreak/>
              <w:t>საფუძვლით.</w:t>
            </w:r>
          </w:p>
          <w:p w:rsidR="00D51A1F" w:rsidRPr="00340AED" w:rsidRDefault="00D51A1F" w:rsidP="00D51A1F">
            <w:pPr>
              <w:jc w:val="both"/>
              <w:rPr>
                <w:rFonts w:ascii="Sylfaen" w:hAnsi="Sylfaen"/>
                <w:lang w:val="ka-GE"/>
              </w:rPr>
            </w:pPr>
          </w:p>
        </w:tc>
        <w:tc>
          <w:tcPr>
            <w:tcW w:w="630" w:type="dxa"/>
          </w:tcPr>
          <w:p w:rsidR="00D51A1F" w:rsidRPr="00340AED" w:rsidRDefault="00D51A1F" w:rsidP="00D51A1F">
            <w:pPr>
              <w:jc w:val="both"/>
              <w:rPr>
                <w:rFonts w:ascii="Sylfaen" w:hAnsi="Sylfaen"/>
                <w:lang w:val="ka-GE"/>
              </w:rPr>
            </w:pPr>
            <w:r>
              <w:rPr>
                <w:rFonts w:ascii="Sylfaen" w:hAnsi="Sylfaen"/>
                <w:lang w:val="ka-GE"/>
              </w:rPr>
              <w:lastRenderedPageBreak/>
              <w:t>სშ</w:t>
            </w:r>
          </w:p>
        </w:tc>
        <w:tc>
          <w:tcPr>
            <w:tcW w:w="4950" w:type="dxa"/>
          </w:tcPr>
          <w:p w:rsidR="00D51A1F" w:rsidRPr="00340AED" w:rsidRDefault="008E2B7F" w:rsidP="00D51A1F">
            <w:pPr>
              <w:jc w:val="both"/>
              <w:rPr>
                <w:rFonts w:ascii="Sylfaen" w:hAnsi="Sylfaen"/>
                <w:lang w:val="ka-GE"/>
              </w:rPr>
            </w:pPr>
            <w:r>
              <w:rPr>
                <w:rFonts w:ascii="Sylfaen" w:hAnsi="Sylfaen"/>
                <w:lang w:val="ka-GE"/>
              </w:rPr>
              <w:t>კანონპროექტში სრულად არის ასახული დირექტივი</w:t>
            </w:r>
            <w:r w:rsidR="005923E0">
              <w:rPr>
                <w:rFonts w:ascii="Sylfaen" w:hAnsi="Sylfaen"/>
                <w:lang w:val="ka-GE"/>
              </w:rPr>
              <w:t>თ დადგენილი</w:t>
            </w:r>
            <w:r>
              <w:rPr>
                <w:rFonts w:ascii="Sylfaen" w:hAnsi="Sylfaen"/>
                <w:lang w:val="ka-GE"/>
              </w:rPr>
              <w:t xml:space="preserve"> სტანდარტი. </w:t>
            </w:r>
          </w:p>
        </w:tc>
      </w:tr>
      <w:tr w:rsidR="00D51A1F" w:rsidRPr="00381570" w:rsidTr="00997D7F">
        <w:tc>
          <w:tcPr>
            <w:tcW w:w="918" w:type="dxa"/>
          </w:tcPr>
          <w:p w:rsidR="00D51A1F" w:rsidRPr="00340AED" w:rsidRDefault="00D51A1F" w:rsidP="00D51A1F">
            <w:pPr>
              <w:jc w:val="both"/>
              <w:rPr>
                <w:rFonts w:ascii="Sylfaen" w:hAnsi="Sylfaen"/>
                <w:lang w:val="ka-GE"/>
              </w:rPr>
            </w:pPr>
            <w:r>
              <w:rPr>
                <w:rFonts w:ascii="Sylfaen" w:hAnsi="Sylfaen"/>
                <w:lang w:val="ka-GE"/>
              </w:rPr>
              <w:lastRenderedPageBreak/>
              <w:t xml:space="preserve">5.3. </w:t>
            </w:r>
          </w:p>
        </w:tc>
        <w:tc>
          <w:tcPr>
            <w:tcW w:w="2037" w:type="dxa"/>
          </w:tcPr>
          <w:p w:rsidR="00D51A1F" w:rsidRDefault="00D51A1F" w:rsidP="00D51A1F">
            <w:pPr>
              <w:jc w:val="both"/>
              <w:rPr>
                <w:rFonts w:ascii="Sylfaen" w:hAnsi="Sylfaen"/>
              </w:rPr>
            </w:pPr>
            <w:r w:rsidRPr="00F54982">
              <w:rPr>
                <w:rFonts w:ascii="Sylfaen" w:hAnsi="Sylfaen"/>
                <w:lang w:val="ka-GE"/>
              </w:rPr>
              <w:t>დამსაქმებელმა</w:t>
            </w:r>
            <w:r w:rsidRPr="00F54982">
              <w:rPr>
                <w:lang w:val="ka-GE"/>
              </w:rPr>
              <w:t xml:space="preserve">, </w:t>
            </w:r>
            <w:r w:rsidRPr="00F54982">
              <w:rPr>
                <w:rFonts w:ascii="Sylfaen" w:hAnsi="Sylfaen"/>
                <w:lang w:val="ka-GE"/>
              </w:rPr>
              <w:t>რამდენადაც</w:t>
            </w:r>
            <w:r w:rsidRPr="00F54982">
              <w:rPr>
                <w:lang w:val="ka-GE"/>
              </w:rPr>
              <w:t xml:space="preserve"> </w:t>
            </w:r>
            <w:r w:rsidRPr="00F54982">
              <w:rPr>
                <w:rFonts w:ascii="Sylfaen" w:hAnsi="Sylfaen"/>
                <w:lang w:val="ka-GE"/>
              </w:rPr>
              <w:t>ეს</w:t>
            </w:r>
            <w:r w:rsidRPr="00F54982">
              <w:rPr>
                <w:lang w:val="ka-GE"/>
              </w:rPr>
              <w:t xml:space="preserve"> </w:t>
            </w:r>
            <w:r w:rsidRPr="00F54982">
              <w:rPr>
                <w:rFonts w:ascii="Sylfaen" w:hAnsi="Sylfaen"/>
                <w:lang w:val="ka-GE"/>
              </w:rPr>
              <w:t>შესაძლებელია</w:t>
            </w:r>
            <w:r w:rsidRPr="00F54982">
              <w:rPr>
                <w:lang w:val="ka-GE"/>
              </w:rPr>
              <w:t xml:space="preserve"> </w:t>
            </w:r>
            <w:r w:rsidRPr="00F54982">
              <w:rPr>
                <w:rFonts w:ascii="Sylfaen" w:hAnsi="Sylfaen"/>
                <w:lang w:val="ka-GE"/>
              </w:rPr>
              <w:t>უნდა</w:t>
            </w:r>
          </w:p>
          <w:p w:rsidR="00D51A1F" w:rsidRPr="00F54982" w:rsidRDefault="00D51A1F" w:rsidP="00D51A1F">
            <w:pPr>
              <w:jc w:val="both"/>
            </w:pPr>
          </w:p>
          <w:p w:rsidR="00D51A1F" w:rsidRDefault="00D51A1F" w:rsidP="00D51A1F">
            <w:pPr>
              <w:jc w:val="both"/>
            </w:pPr>
            <w:r>
              <w:rPr>
                <w:rFonts w:ascii="Sylfaen" w:hAnsi="Sylfaen"/>
              </w:rPr>
              <w:t>a</w:t>
            </w:r>
            <w:r w:rsidRPr="00F54982">
              <w:rPr>
                <w:lang w:val="ka-GE"/>
              </w:rPr>
              <w:t xml:space="preserve">) </w:t>
            </w:r>
            <w:r w:rsidRPr="00F54982">
              <w:rPr>
                <w:rFonts w:ascii="Sylfaen" w:hAnsi="Sylfaen"/>
                <w:lang w:val="ka-GE"/>
              </w:rPr>
              <w:t>გაითვალისწინოს</w:t>
            </w:r>
            <w:r w:rsidRPr="00F54982">
              <w:rPr>
                <w:lang w:val="ka-GE"/>
              </w:rPr>
              <w:t xml:space="preserve"> </w:t>
            </w:r>
            <w:r w:rsidRPr="00F54982">
              <w:rPr>
                <w:rFonts w:ascii="Sylfaen" w:hAnsi="Sylfaen"/>
                <w:lang w:val="ka-GE"/>
              </w:rPr>
              <w:t>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t>დასაქმებულთა</w:t>
            </w:r>
            <w:r w:rsidRPr="00F54982">
              <w:rPr>
                <w:lang w:val="ka-GE"/>
              </w:rPr>
              <w:t xml:space="preserve"> </w:t>
            </w:r>
            <w:r w:rsidRPr="00F54982">
              <w:rPr>
                <w:rFonts w:ascii="Sylfaen" w:hAnsi="Sylfaen"/>
                <w:lang w:val="ka-GE"/>
              </w:rPr>
              <w:t>განცხადებები</w:t>
            </w:r>
            <w:r w:rsidRPr="00F54982">
              <w:rPr>
                <w:lang w:val="ka-GE"/>
              </w:rPr>
              <w:t xml:space="preserve"> </w:t>
            </w:r>
            <w:r w:rsidRPr="00F54982">
              <w:rPr>
                <w:rFonts w:ascii="Sylfaen" w:hAnsi="Sylfaen"/>
                <w:lang w:val="ka-GE"/>
              </w:rPr>
              <w:t>დაწესებულებაში</w:t>
            </w:r>
            <w:r w:rsidRPr="00F54982">
              <w:rPr>
                <w:lang w:val="ka-GE"/>
              </w:rPr>
              <w:t xml:space="preserve"> </w:t>
            </w:r>
            <w:r w:rsidRPr="00F54982">
              <w:rPr>
                <w:rFonts w:ascii="Sylfaen" w:hAnsi="Sylfaen"/>
                <w:lang w:val="ka-GE"/>
              </w:rPr>
              <w:t>არსებულ</w:t>
            </w:r>
            <w:r w:rsidRPr="00F54982">
              <w:rPr>
                <w:lang w:val="ka-GE"/>
              </w:rPr>
              <w:t xml:space="preserve"> </w:t>
            </w:r>
            <w:r w:rsidRPr="00F54982">
              <w:rPr>
                <w:rFonts w:ascii="Sylfaen" w:hAnsi="Sylfaen"/>
                <w:lang w:val="ka-GE"/>
              </w:rPr>
              <w:t>ვაკანტურ</w:t>
            </w:r>
            <w:r w:rsidRPr="00F54982">
              <w:rPr>
                <w:lang w:val="ka-GE"/>
              </w:rPr>
              <w:t xml:space="preserve"> </w:t>
            </w:r>
            <w:r w:rsidRPr="00F54982">
              <w:rPr>
                <w:rFonts w:ascii="Sylfaen" w:hAnsi="Sylfaen"/>
                <w:lang w:val="ka-GE"/>
              </w:rPr>
              <w:t>არასრულ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t>გადაყვანის</w:t>
            </w:r>
            <w:r w:rsidRPr="00F54982">
              <w:rPr>
                <w:lang w:val="ka-GE"/>
              </w:rPr>
              <w:t xml:space="preserve"> </w:t>
            </w:r>
            <w:r w:rsidRPr="00F54982">
              <w:rPr>
                <w:rFonts w:ascii="Sylfaen" w:hAnsi="Sylfaen"/>
                <w:lang w:val="ka-GE"/>
              </w:rPr>
              <w:t>შესახებ</w:t>
            </w:r>
            <w:r w:rsidRPr="00F54982">
              <w:rPr>
                <w:lang w:val="ka-GE"/>
              </w:rPr>
              <w:t>;</w:t>
            </w:r>
          </w:p>
          <w:p w:rsidR="00D51A1F" w:rsidRPr="00F54982" w:rsidRDefault="00D51A1F" w:rsidP="00D51A1F">
            <w:pPr>
              <w:jc w:val="both"/>
            </w:pPr>
          </w:p>
          <w:p w:rsidR="00D51A1F" w:rsidRDefault="00D51A1F" w:rsidP="00D51A1F">
            <w:pPr>
              <w:jc w:val="both"/>
            </w:pPr>
            <w:r>
              <w:rPr>
                <w:rFonts w:ascii="Sylfaen" w:hAnsi="Sylfaen"/>
              </w:rPr>
              <w:t>b</w:t>
            </w:r>
            <w:r w:rsidRPr="00F54982">
              <w:rPr>
                <w:lang w:val="ka-GE"/>
              </w:rPr>
              <w:t xml:space="preserve">) </w:t>
            </w:r>
            <w:r w:rsidRPr="00F54982">
              <w:rPr>
                <w:rFonts w:ascii="Sylfaen" w:hAnsi="Sylfaen"/>
                <w:lang w:val="ka-GE"/>
              </w:rPr>
              <w:t>გაითვალისწინოს</w:t>
            </w:r>
            <w:r w:rsidRPr="00F54982">
              <w:rPr>
                <w:lang w:val="ka-GE"/>
              </w:rPr>
              <w:t xml:space="preserve"> </w:t>
            </w:r>
            <w:r w:rsidRPr="00F54982">
              <w:rPr>
                <w:rFonts w:ascii="Sylfaen" w:hAnsi="Sylfaen"/>
                <w:lang w:val="ka-GE"/>
              </w:rPr>
              <w:t>არასრულ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t>დასაქმებულთა</w:t>
            </w:r>
            <w:r w:rsidRPr="00F54982">
              <w:rPr>
                <w:lang w:val="ka-GE"/>
              </w:rPr>
              <w:t xml:space="preserve"> </w:t>
            </w:r>
            <w:r w:rsidRPr="00F54982">
              <w:rPr>
                <w:rFonts w:ascii="Sylfaen" w:hAnsi="Sylfaen"/>
                <w:lang w:val="ka-GE"/>
              </w:rPr>
              <w:t>განცხადებები</w:t>
            </w:r>
            <w:r w:rsidRPr="00F54982">
              <w:rPr>
                <w:lang w:val="ka-GE"/>
              </w:rPr>
              <w:t xml:space="preserve"> </w:t>
            </w:r>
            <w:r w:rsidRPr="00F54982">
              <w:rPr>
                <w:rFonts w:ascii="Sylfaen" w:hAnsi="Sylfaen"/>
                <w:lang w:val="ka-GE"/>
              </w:rPr>
              <w:t>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t>გადაყვანის</w:t>
            </w:r>
            <w:r w:rsidRPr="00F54982">
              <w:rPr>
                <w:lang w:val="ka-GE"/>
              </w:rPr>
              <w:t xml:space="preserve"> </w:t>
            </w:r>
            <w:r w:rsidRPr="00F54982">
              <w:rPr>
                <w:rFonts w:ascii="Sylfaen" w:hAnsi="Sylfaen"/>
                <w:lang w:val="ka-GE"/>
              </w:rPr>
              <w:t>შესახებ</w:t>
            </w:r>
            <w:r w:rsidRPr="00F54982">
              <w:rPr>
                <w:lang w:val="ka-GE"/>
              </w:rPr>
              <w:t xml:space="preserve"> </w:t>
            </w:r>
            <w:r w:rsidRPr="00F54982">
              <w:rPr>
                <w:rFonts w:ascii="Sylfaen" w:hAnsi="Sylfaen"/>
                <w:lang w:val="ka-GE"/>
              </w:rPr>
              <w:t>ან</w:t>
            </w:r>
            <w:r w:rsidRPr="00F54982">
              <w:rPr>
                <w:lang w:val="ka-GE"/>
              </w:rPr>
              <w:t xml:space="preserve"> </w:t>
            </w:r>
            <w:r w:rsidRPr="00F54982">
              <w:rPr>
                <w:rFonts w:ascii="Sylfaen" w:hAnsi="Sylfaen"/>
                <w:lang w:val="ka-GE"/>
              </w:rPr>
              <w:t>მათი</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დროის</w:t>
            </w:r>
            <w:r w:rsidRPr="00F54982">
              <w:rPr>
                <w:lang w:val="ka-GE"/>
              </w:rPr>
              <w:t xml:space="preserve"> </w:t>
            </w:r>
            <w:r w:rsidRPr="00F54982">
              <w:rPr>
                <w:rFonts w:ascii="Sylfaen" w:hAnsi="Sylfaen"/>
                <w:lang w:val="ka-GE"/>
              </w:rPr>
              <w:t>გაზრდის</w:t>
            </w:r>
            <w:r w:rsidRPr="00F54982">
              <w:rPr>
                <w:lang w:val="ka-GE"/>
              </w:rPr>
              <w:t xml:space="preserve"> </w:t>
            </w:r>
            <w:r w:rsidRPr="00F54982">
              <w:rPr>
                <w:rFonts w:ascii="Sylfaen" w:hAnsi="Sylfaen"/>
                <w:lang w:val="ka-GE"/>
              </w:rPr>
              <w:t>შესახებ</w:t>
            </w:r>
            <w:r w:rsidRPr="00F54982">
              <w:rPr>
                <w:lang w:val="ka-GE"/>
              </w:rPr>
              <w:t xml:space="preserve">, </w:t>
            </w:r>
            <w:r w:rsidRPr="00F54982">
              <w:rPr>
                <w:rFonts w:ascii="Sylfaen" w:hAnsi="Sylfaen"/>
                <w:lang w:val="ka-GE"/>
              </w:rPr>
              <w:t>ასეთი</w:t>
            </w:r>
            <w:r w:rsidRPr="00F54982">
              <w:rPr>
                <w:lang w:val="ka-GE"/>
              </w:rPr>
              <w:t xml:space="preserve"> </w:t>
            </w:r>
            <w:r w:rsidRPr="00F54982">
              <w:rPr>
                <w:rFonts w:ascii="Sylfaen" w:hAnsi="Sylfaen"/>
                <w:lang w:val="ka-GE"/>
              </w:rPr>
              <w:t>შესაძლებლობის</w:t>
            </w:r>
            <w:r w:rsidRPr="00F54982">
              <w:rPr>
                <w:lang w:val="ka-GE"/>
              </w:rPr>
              <w:t xml:space="preserve"> </w:t>
            </w:r>
            <w:r w:rsidRPr="00F54982">
              <w:rPr>
                <w:rFonts w:ascii="Sylfaen" w:hAnsi="Sylfaen"/>
                <w:lang w:val="ka-GE"/>
              </w:rPr>
              <w:t>არსებობის</w:t>
            </w:r>
            <w:r w:rsidRPr="00F54982">
              <w:rPr>
                <w:lang w:val="ka-GE"/>
              </w:rPr>
              <w:t xml:space="preserve"> </w:t>
            </w:r>
            <w:r w:rsidRPr="00F54982">
              <w:rPr>
                <w:rFonts w:ascii="Sylfaen" w:hAnsi="Sylfaen"/>
                <w:lang w:val="ka-GE"/>
              </w:rPr>
              <w:t>შემთხვევაში</w:t>
            </w:r>
            <w:r w:rsidRPr="00F54982">
              <w:rPr>
                <w:lang w:val="ka-GE"/>
              </w:rPr>
              <w:t>;</w:t>
            </w:r>
          </w:p>
          <w:p w:rsidR="00D51A1F" w:rsidRPr="00F54982" w:rsidRDefault="00D51A1F" w:rsidP="00D51A1F">
            <w:pPr>
              <w:jc w:val="both"/>
            </w:pPr>
          </w:p>
          <w:p w:rsidR="00D51A1F" w:rsidRDefault="00D51A1F" w:rsidP="00D51A1F">
            <w:pPr>
              <w:jc w:val="both"/>
            </w:pPr>
            <w:r>
              <w:rPr>
                <w:rFonts w:ascii="Sylfaen" w:hAnsi="Sylfaen"/>
              </w:rPr>
              <w:t>c</w:t>
            </w:r>
            <w:r w:rsidRPr="00F54982">
              <w:rPr>
                <w:lang w:val="ka-GE"/>
              </w:rPr>
              <w:t xml:space="preserve">) </w:t>
            </w:r>
            <w:r w:rsidRPr="00F54982">
              <w:rPr>
                <w:rFonts w:ascii="Sylfaen" w:hAnsi="Sylfaen"/>
                <w:lang w:val="ka-GE"/>
              </w:rPr>
              <w:t>იზრუნოს</w:t>
            </w:r>
            <w:r w:rsidRPr="00F54982">
              <w:rPr>
                <w:lang w:val="ka-GE"/>
              </w:rPr>
              <w:t xml:space="preserve"> </w:t>
            </w:r>
            <w:r w:rsidRPr="00F54982">
              <w:rPr>
                <w:rFonts w:ascii="Sylfaen" w:hAnsi="Sylfaen"/>
                <w:lang w:val="ka-GE"/>
              </w:rPr>
              <w:t>სრული</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განაკვეთიდან</w:t>
            </w:r>
            <w:r w:rsidRPr="00F54982">
              <w:rPr>
                <w:lang w:val="ka-GE"/>
              </w:rPr>
              <w:t xml:space="preserve"> </w:t>
            </w:r>
            <w:r w:rsidRPr="00F54982">
              <w:rPr>
                <w:rFonts w:ascii="Sylfaen" w:hAnsi="Sylfaen"/>
                <w:lang w:val="ka-GE"/>
              </w:rPr>
              <w:t>არასრულ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t>და</w:t>
            </w:r>
            <w:r w:rsidRPr="00F54982">
              <w:rPr>
                <w:lang w:val="ka-GE"/>
              </w:rPr>
              <w:t xml:space="preserve"> </w:t>
            </w:r>
            <w:r w:rsidRPr="00F54982">
              <w:rPr>
                <w:rFonts w:ascii="Sylfaen" w:hAnsi="Sylfaen"/>
                <w:lang w:val="ka-GE"/>
              </w:rPr>
              <w:t>პირიქით</w:t>
            </w:r>
            <w:r w:rsidRPr="00F54982">
              <w:rPr>
                <w:lang w:val="ka-GE"/>
              </w:rPr>
              <w:t xml:space="preserve"> </w:t>
            </w:r>
            <w:r w:rsidRPr="00F54982">
              <w:rPr>
                <w:rFonts w:ascii="Sylfaen" w:hAnsi="Sylfaen"/>
                <w:lang w:val="ka-GE"/>
              </w:rPr>
              <w:t>გადასვლის</w:t>
            </w:r>
            <w:r w:rsidRPr="00F54982">
              <w:rPr>
                <w:lang w:val="ka-GE"/>
              </w:rPr>
              <w:t xml:space="preserve"> </w:t>
            </w:r>
            <w:r w:rsidRPr="00F54982">
              <w:rPr>
                <w:rFonts w:ascii="Sylfaen" w:hAnsi="Sylfaen"/>
                <w:lang w:val="ka-GE"/>
              </w:rPr>
              <w:t>გამარტივებაზე</w:t>
            </w:r>
            <w:r w:rsidRPr="00F54982">
              <w:rPr>
                <w:lang w:val="ka-GE"/>
              </w:rPr>
              <w:t xml:space="preserve"> </w:t>
            </w:r>
            <w:r w:rsidRPr="00F54982">
              <w:rPr>
                <w:rFonts w:ascii="Sylfaen" w:hAnsi="Sylfaen"/>
                <w:lang w:val="ka-GE"/>
              </w:rPr>
              <w:t>და</w:t>
            </w:r>
            <w:r w:rsidRPr="00F54982">
              <w:rPr>
                <w:lang w:val="ka-GE"/>
              </w:rPr>
              <w:t xml:space="preserve"> </w:t>
            </w:r>
            <w:r w:rsidRPr="00F54982">
              <w:rPr>
                <w:rFonts w:ascii="Sylfaen" w:hAnsi="Sylfaen"/>
                <w:lang w:val="ka-GE"/>
              </w:rPr>
              <w:t>დროულად</w:t>
            </w:r>
            <w:r w:rsidRPr="00F54982">
              <w:rPr>
                <w:lang w:val="ka-GE"/>
              </w:rPr>
              <w:t xml:space="preserve"> </w:t>
            </w:r>
            <w:r w:rsidRPr="00F54982">
              <w:rPr>
                <w:rFonts w:ascii="Sylfaen" w:hAnsi="Sylfaen"/>
                <w:lang w:val="ka-GE"/>
              </w:rPr>
              <w:t>მიაწოდოს</w:t>
            </w:r>
            <w:r w:rsidRPr="00F54982">
              <w:rPr>
                <w:lang w:val="ka-GE"/>
              </w:rPr>
              <w:t xml:space="preserve"> </w:t>
            </w:r>
            <w:r w:rsidRPr="00F54982">
              <w:rPr>
                <w:rFonts w:ascii="Sylfaen" w:hAnsi="Sylfaen"/>
                <w:lang w:val="ka-GE"/>
              </w:rPr>
              <w:t>ინფორმაცია</w:t>
            </w:r>
            <w:r w:rsidRPr="00F54982">
              <w:rPr>
                <w:lang w:val="ka-GE"/>
              </w:rPr>
              <w:t xml:space="preserve"> </w:t>
            </w:r>
            <w:r w:rsidRPr="00F54982">
              <w:rPr>
                <w:rFonts w:ascii="Sylfaen" w:hAnsi="Sylfaen"/>
                <w:lang w:val="ka-GE"/>
              </w:rPr>
              <w:t>სრულ</w:t>
            </w:r>
            <w:r w:rsidRPr="00F54982">
              <w:rPr>
                <w:lang w:val="ka-GE"/>
              </w:rPr>
              <w:t xml:space="preserve"> </w:t>
            </w:r>
            <w:r w:rsidRPr="00F54982">
              <w:rPr>
                <w:rFonts w:ascii="Sylfaen" w:hAnsi="Sylfaen"/>
                <w:lang w:val="ka-GE"/>
              </w:rPr>
              <w:t>და</w:t>
            </w:r>
            <w:r w:rsidRPr="00F54982">
              <w:rPr>
                <w:lang w:val="ka-GE"/>
              </w:rPr>
              <w:t xml:space="preserve"> </w:t>
            </w:r>
            <w:r w:rsidRPr="00F54982">
              <w:rPr>
                <w:rFonts w:ascii="Sylfaen" w:hAnsi="Sylfaen"/>
                <w:lang w:val="ka-GE"/>
              </w:rPr>
              <w:lastRenderedPageBreak/>
              <w:t>არასრულ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განაკვეთებზე</w:t>
            </w:r>
            <w:r w:rsidRPr="00F54982">
              <w:rPr>
                <w:lang w:val="ka-GE"/>
              </w:rPr>
              <w:t xml:space="preserve"> </w:t>
            </w:r>
            <w:r w:rsidRPr="00F54982">
              <w:rPr>
                <w:rFonts w:ascii="Sylfaen" w:hAnsi="Sylfaen"/>
                <w:lang w:val="ka-GE"/>
              </w:rPr>
              <w:t>დაწესებულებაში</w:t>
            </w:r>
            <w:r w:rsidRPr="00F54982">
              <w:rPr>
                <w:lang w:val="ka-GE"/>
              </w:rPr>
              <w:t xml:space="preserve"> </w:t>
            </w:r>
            <w:r w:rsidRPr="00F54982">
              <w:rPr>
                <w:rFonts w:ascii="Sylfaen" w:hAnsi="Sylfaen"/>
                <w:lang w:val="ka-GE"/>
              </w:rPr>
              <w:t>არსებული</w:t>
            </w:r>
            <w:r w:rsidRPr="00F54982">
              <w:rPr>
                <w:lang w:val="ka-GE"/>
              </w:rPr>
              <w:t xml:space="preserve"> </w:t>
            </w:r>
            <w:r w:rsidRPr="00F54982">
              <w:rPr>
                <w:rFonts w:ascii="Sylfaen" w:hAnsi="Sylfaen"/>
                <w:lang w:val="ka-GE"/>
              </w:rPr>
              <w:t>თავისუფალი</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ადგილების</w:t>
            </w:r>
            <w:r w:rsidRPr="00F54982">
              <w:rPr>
                <w:lang w:val="ka-GE"/>
              </w:rPr>
              <w:t xml:space="preserve"> </w:t>
            </w:r>
            <w:r w:rsidRPr="00F54982">
              <w:rPr>
                <w:rFonts w:ascii="Sylfaen" w:hAnsi="Sylfaen"/>
                <w:lang w:val="ka-GE"/>
              </w:rPr>
              <w:t>შესახებ</w:t>
            </w:r>
            <w:r w:rsidRPr="00F54982">
              <w:rPr>
                <w:lang w:val="ka-GE"/>
              </w:rPr>
              <w:t>;</w:t>
            </w:r>
          </w:p>
          <w:p w:rsidR="00D51A1F" w:rsidRPr="00F54982" w:rsidRDefault="00D51A1F" w:rsidP="00D51A1F">
            <w:pPr>
              <w:jc w:val="both"/>
            </w:pPr>
          </w:p>
          <w:p w:rsidR="00D51A1F" w:rsidRDefault="00D51A1F" w:rsidP="00D51A1F">
            <w:pPr>
              <w:jc w:val="both"/>
            </w:pPr>
            <w:r>
              <w:rPr>
                <w:rFonts w:ascii="Sylfaen" w:hAnsi="Sylfaen"/>
              </w:rPr>
              <w:t>d</w:t>
            </w:r>
            <w:r w:rsidRPr="00F54982">
              <w:rPr>
                <w:lang w:val="ka-GE"/>
              </w:rPr>
              <w:t xml:space="preserve">) </w:t>
            </w:r>
            <w:r w:rsidRPr="00F54982">
              <w:rPr>
                <w:rFonts w:ascii="Sylfaen" w:hAnsi="Sylfaen"/>
                <w:lang w:val="ka-GE"/>
              </w:rPr>
              <w:t>გაამარტივოს</w:t>
            </w:r>
            <w:r w:rsidRPr="00F54982">
              <w:rPr>
                <w:lang w:val="ka-GE"/>
              </w:rPr>
              <w:t xml:space="preserve"> </w:t>
            </w:r>
            <w:r w:rsidRPr="00F54982">
              <w:rPr>
                <w:rFonts w:ascii="Sylfaen" w:hAnsi="Sylfaen"/>
                <w:lang w:val="ka-GE"/>
              </w:rPr>
              <w:t>ზომები</w:t>
            </w:r>
            <w:r w:rsidRPr="00F54982">
              <w:rPr>
                <w:lang w:val="ka-GE"/>
              </w:rPr>
              <w:t xml:space="preserve">, </w:t>
            </w:r>
            <w:r w:rsidRPr="00F54982">
              <w:rPr>
                <w:rFonts w:ascii="Sylfaen" w:hAnsi="Sylfaen"/>
                <w:lang w:val="ka-GE"/>
              </w:rPr>
              <w:t>რომლებიც</w:t>
            </w:r>
            <w:r w:rsidRPr="00F54982">
              <w:rPr>
                <w:lang w:val="ka-GE"/>
              </w:rPr>
              <w:t xml:space="preserve"> </w:t>
            </w:r>
            <w:r w:rsidRPr="00F54982">
              <w:rPr>
                <w:rFonts w:ascii="Sylfaen" w:hAnsi="Sylfaen"/>
                <w:lang w:val="ka-GE"/>
              </w:rPr>
              <w:t>გაამარტივებს</w:t>
            </w:r>
            <w:r w:rsidRPr="00F54982">
              <w:rPr>
                <w:lang w:val="ka-GE"/>
              </w:rPr>
              <w:t xml:space="preserve"> </w:t>
            </w:r>
            <w:r w:rsidRPr="00F54982">
              <w:rPr>
                <w:rFonts w:ascii="Sylfaen" w:hAnsi="Sylfaen"/>
                <w:lang w:val="ka-GE"/>
              </w:rPr>
              <w:t>არარსრულ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t>დასაქმების</w:t>
            </w:r>
            <w:r w:rsidRPr="00F54982">
              <w:rPr>
                <w:lang w:val="ka-GE"/>
              </w:rPr>
              <w:t xml:space="preserve"> </w:t>
            </w:r>
            <w:r w:rsidRPr="00F54982">
              <w:rPr>
                <w:rFonts w:ascii="Sylfaen" w:hAnsi="Sylfaen"/>
                <w:lang w:val="ka-GE"/>
              </w:rPr>
              <w:t>ხელმისაწვდომობას</w:t>
            </w:r>
            <w:r w:rsidRPr="00F54982">
              <w:rPr>
                <w:lang w:val="ka-GE"/>
              </w:rPr>
              <w:t xml:space="preserve"> </w:t>
            </w:r>
            <w:r w:rsidRPr="00F54982">
              <w:rPr>
                <w:rFonts w:ascii="Sylfaen" w:hAnsi="Sylfaen"/>
                <w:lang w:val="ka-GE"/>
              </w:rPr>
              <w:t>დაწესებულების</w:t>
            </w:r>
            <w:r w:rsidRPr="00F54982">
              <w:rPr>
                <w:lang w:val="ka-GE"/>
              </w:rPr>
              <w:t xml:space="preserve"> </w:t>
            </w:r>
            <w:r w:rsidRPr="00F54982">
              <w:rPr>
                <w:rFonts w:ascii="Sylfaen" w:hAnsi="Sylfaen"/>
                <w:lang w:val="ka-GE"/>
              </w:rPr>
              <w:t>ყველა</w:t>
            </w:r>
            <w:r w:rsidRPr="00F54982">
              <w:rPr>
                <w:lang w:val="ka-GE"/>
              </w:rPr>
              <w:t xml:space="preserve"> </w:t>
            </w:r>
            <w:r w:rsidRPr="00F54982">
              <w:rPr>
                <w:rFonts w:ascii="Sylfaen" w:hAnsi="Sylfaen"/>
                <w:lang w:val="ka-GE"/>
              </w:rPr>
              <w:t>დონეზე</w:t>
            </w:r>
            <w:r w:rsidRPr="00F54982">
              <w:rPr>
                <w:lang w:val="ka-GE"/>
              </w:rPr>
              <w:t xml:space="preserve"> </w:t>
            </w:r>
            <w:r w:rsidRPr="00F54982">
              <w:rPr>
                <w:rFonts w:ascii="Sylfaen" w:hAnsi="Sylfaen"/>
                <w:lang w:val="ka-GE"/>
              </w:rPr>
              <w:t>კვალიფიციური</w:t>
            </w:r>
            <w:r w:rsidRPr="00F54982">
              <w:rPr>
                <w:lang w:val="ka-GE"/>
              </w:rPr>
              <w:t xml:space="preserve"> </w:t>
            </w:r>
            <w:r w:rsidRPr="00F54982">
              <w:rPr>
                <w:rFonts w:ascii="Sylfaen" w:hAnsi="Sylfaen"/>
                <w:lang w:val="ka-GE"/>
              </w:rPr>
              <w:t>და</w:t>
            </w:r>
            <w:r w:rsidRPr="00F54982">
              <w:rPr>
                <w:lang w:val="ka-GE"/>
              </w:rPr>
              <w:t xml:space="preserve"> </w:t>
            </w:r>
            <w:r w:rsidRPr="00F54982">
              <w:rPr>
                <w:rFonts w:ascii="Sylfaen" w:hAnsi="Sylfaen"/>
                <w:lang w:val="ka-GE"/>
              </w:rPr>
              <w:t>წამყვანი</w:t>
            </w:r>
            <w:r w:rsidRPr="00F54982">
              <w:rPr>
                <w:lang w:val="ka-GE"/>
              </w:rPr>
              <w:t xml:space="preserve"> </w:t>
            </w:r>
            <w:r w:rsidRPr="00F54982">
              <w:rPr>
                <w:rFonts w:ascii="Sylfaen" w:hAnsi="Sylfaen"/>
                <w:lang w:val="ka-GE"/>
              </w:rPr>
              <w:t>თანამდებობების</w:t>
            </w:r>
            <w:r w:rsidRPr="00F54982">
              <w:rPr>
                <w:lang w:val="ka-GE"/>
              </w:rPr>
              <w:t xml:space="preserve"> </w:t>
            </w:r>
            <w:r w:rsidRPr="00F54982">
              <w:rPr>
                <w:rFonts w:ascii="Sylfaen" w:hAnsi="Sylfaen"/>
                <w:lang w:val="ka-GE"/>
              </w:rPr>
              <w:t>ჩათვლით</w:t>
            </w:r>
            <w:r w:rsidRPr="00F54982">
              <w:rPr>
                <w:lang w:val="ka-GE"/>
              </w:rPr>
              <w:t xml:space="preserve"> </w:t>
            </w:r>
            <w:r w:rsidRPr="00F54982">
              <w:rPr>
                <w:rFonts w:ascii="Sylfaen" w:hAnsi="Sylfaen"/>
                <w:lang w:val="ka-GE"/>
              </w:rPr>
              <w:t>და</w:t>
            </w:r>
            <w:r w:rsidRPr="00F54982">
              <w:rPr>
                <w:lang w:val="ka-GE"/>
              </w:rPr>
              <w:t xml:space="preserve"> </w:t>
            </w:r>
            <w:r w:rsidRPr="00F54982">
              <w:rPr>
                <w:rFonts w:ascii="Sylfaen" w:hAnsi="Sylfaen"/>
                <w:lang w:val="ka-GE"/>
              </w:rPr>
              <w:t>საჭიროების</w:t>
            </w:r>
            <w:r w:rsidRPr="00F54982">
              <w:rPr>
                <w:lang w:val="ka-GE"/>
              </w:rPr>
              <w:t xml:space="preserve"> </w:t>
            </w:r>
            <w:r w:rsidRPr="00F54982">
              <w:rPr>
                <w:rFonts w:ascii="Sylfaen" w:hAnsi="Sylfaen"/>
                <w:lang w:val="ka-GE"/>
              </w:rPr>
              <w:t>შემთხვევაში</w:t>
            </w:r>
            <w:r w:rsidRPr="00F54982">
              <w:rPr>
                <w:lang w:val="ka-GE"/>
              </w:rPr>
              <w:t xml:space="preserve">, </w:t>
            </w:r>
            <w:r w:rsidRPr="00F54982">
              <w:rPr>
                <w:rFonts w:ascii="Sylfaen" w:hAnsi="Sylfaen"/>
                <w:lang w:val="ka-GE"/>
              </w:rPr>
              <w:t>ასევე</w:t>
            </w:r>
            <w:r w:rsidRPr="00F54982">
              <w:rPr>
                <w:lang w:val="ka-GE"/>
              </w:rPr>
              <w:t xml:space="preserve"> </w:t>
            </w:r>
            <w:r w:rsidRPr="00F54982">
              <w:rPr>
                <w:rFonts w:ascii="Sylfaen" w:hAnsi="Sylfaen"/>
                <w:lang w:val="ka-GE"/>
              </w:rPr>
              <w:t>გაატაროს</w:t>
            </w:r>
            <w:r w:rsidRPr="00F54982">
              <w:rPr>
                <w:lang w:val="ka-GE"/>
              </w:rPr>
              <w:t xml:space="preserve"> </w:t>
            </w:r>
            <w:r w:rsidRPr="00F54982">
              <w:rPr>
                <w:rFonts w:ascii="Sylfaen" w:hAnsi="Sylfaen"/>
                <w:lang w:val="ka-GE"/>
              </w:rPr>
              <w:t>ზომები</w:t>
            </w:r>
            <w:r w:rsidRPr="00F54982">
              <w:rPr>
                <w:lang w:val="ka-GE"/>
              </w:rPr>
              <w:t xml:space="preserve"> </w:t>
            </w:r>
            <w:r w:rsidRPr="00F54982">
              <w:rPr>
                <w:rFonts w:ascii="Sylfaen" w:hAnsi="Sylfaen"/>
                <w:lang w:val="ka-GE"/>
              </w:rPr>
              <w:t>არასრულ</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lastRenderedPageBreak/>
              <w:t>დასაქმებულთა</w:t>
            </w:r>
            <w:r w:rsidRPr="00F54982">
              <w:rPr>
                <w:lang w:val="ka-GE"/>
              </w:rPr>
              <w:t xml:space="preserve"> </w:t>
            </w:r>
            <w:r w:rsidRPr="00F54982">
              <w:rPr>
                <w:rFonts w:ascii="Sylfaen" w:hAnsi="Sylfaen"/>
                <w:lang w:val="ka-GE"/>
              </w:rPr>
              <w:t>პროფესიული</w:t>
            </w:r>
            <w:r w:rsidRPr="00F54982">
              <w:rPr>
                <w:lang w:val="ka-GE"/>
              </w:rPr>
              <w:t xml:space="preserve"> </w:t>
            </w:r>
            <w:r w:rsidRPr="00F54982">
              <w:rPr>
                <w:rFonts w:ascii="Sylfaen" w:hAnsi="Sylfaen"/>
                <w:lang w:val="ka-GE"/>
              </w:rPr>
              <w:t>განათლების</w:t>
            </w:r>
            <w:r w:rsidRPr="00F54982">
              <w:rPr>
                <w:lang w:val="ka-GE"/>
              </w:rPr>
              <w:t xml:space="preserve"> </w:t>
            </w:r>
            <w:r w:rsidRPr="00F54982">
              <w:rPr>
                <w:rFonts w:ascii="Sylfaen" w:hAnsi="Sylfaen"/>
                <w:lang w:val="ka-GE"/>
              </w:rPr>
              <w:t>ხელმისაწვდომობისთვის</w:t>
            </w:r>
            <w:r w:rsidRPr="00F54982">
              <w:rPr>
                <w:lang w:val="ka-GE"/>
              </w:rPr>
              <w:t xml:space="preserve">, </w:t>
            </w:r>
            <w:r w:rsidRPr="00F54982">
              <w:rPr>
                <w:rFonts w:ascii="Sylfaen" w:hAnsi="Sylfaen"/>
                <w:lang w:val="ka-GE"/>
              </w:rPr>
              <w:t>ხელი</w:t>
            </w:r>
            <w:r w:rsidRPr="00F54982">
              <w:rPr>
                <w:lang w:val="ka-GE"/>
              </w:rPr>
              <w:t xml:space="preserve"> </w:t>
            </w:r>
            <w:r w:rsidRPr="00F54982">
              <w:rPr>
                <w:rFonts w:ascii="Sylfaen" w:hAnsi="Sylfaen"/>
                <w:lang w:val="ka-GE"/>
              </w:rPr>
              <w:t>შეუწყოს</w:t>
            </w:r>
            <w:r w:rsidRPr="00F54982">
              <w:rPr>
                <w:lang w:val="ka-GE"/>
              </w:rPr>
              <w:t xml:space="preserve"> </w:t>
            </w:r>
            <w:r w:rsidRPr="00F54982">
              <w:rPr>
                <w:rFonts w:ascii="Sylfaen" w:hAnsi="Sylfaen"/>
                <w:lang w:val="ka-GE"/>
              </w:rPr>
              <w:t>კარიერულ</w:t>
            </w:r>
            <w:r w:rsidRPr="00F54982">
              <w:rPr>
                <w:lang w:val="ka-GE"/>
              </w:rPr>
              <w:t xml:space="preserve"> </w:t>
            </w:r>
            <w:r w:rsidRPr="00F54982">
              <w:rPr>
                <w:rFonts w:ascii="Sylfaen" w:hAnsi="Sylfaen"/>
                <w:lang w:val="ka-GE"/>
              </w:rPr>
              <w:t>წინსვლასა</w:t>
            </w:r>
            <w:r w:rsidRPr="00F54982">
              <w:rPr>
                <w:lang w:val="ka-GE"/>
              </w:rPr>
              <w:t xml:space="preserve"> </w:t>
            </w:r>
            <w:r w:rsidRPr="00F54982">
              <w:rPr>
                <w:rFonts w:ascii="Sylfaen" w:hAnsi="Sylfaen"/>
                <w:lang w:val="ka-GE"/>
              </w:rPr>
              <w:t>და</w:t>
            </w:r>
            <w:r w:rsidRPr="00F54982">
              <w:rPr>
                <w:lang w:val="ka-GE"/>
              </w:rPr>
              <w:t xml:space="preserve"> </w:t>
            </w:r>
            <w:r w:rsidRPr="00F54982">
              <w:rPr>
                <w:rFonts w:ascii="Sylfaen" w:hAnsi="Sylfaen"/>
                <w:lang w:val="ka-GE"/>
              </w:rPr>
              <w:t>პროფესიულ</w:t>
            </w:r>
            <w:r w:rsidRPr="00F54982">
              <w:rPr>
                <w:lang w:val="ka-GE"/>
              </w:rPr>
              <w:t xml:space="preserve"> </w:t>
            </w:r>
            <w:r w:rsidRPr="00F54982">
              <w:rPr>
                <w:rFonts w:ascii="Sylfaen" w:hAnsi="Sylfaen"/>
                <w:lang w:val="ka-GE"/>
              </w:rPr>
              <w:t>მობილობას</w:t>
            </w:r>
            <w:r w:rsidRPr="00F54982">
              <w:rPr>
                <w:lang w:val="ka-GE"/>
              </w:rPr>
              <w:t>;</w:t>
            </w:r>
          </w:p>
          <w:p w:rsidR="00D51A1F" w:rsidRPr="00F54982" w:rsidRDefault="00D51A1F" w:rsidP="00D51A1F">
            <w:pPr>
              <w:jc w:val="both"/>
            </w:pPr>
          </w:p>
          <w:p w:rsidR="00D51A1F" w:rsidRPr="00340AED" w:rsidRDefault="00D51A1F" w:rsidP="00D51A1F">
            <w:pPr>
              <w:jc w:val="both"/>
              <w:rPr>
                <w:rFonts w:ascii="Sylfaen" w:hAnsi="Sylfaen"/>
                <w:lang w:val="ka-GE"/>
              </w:rPr>
            </w:pPr>
            <w:r>
              <w:rPr>
                <w:rFonts w:ascii="Sylfaen" w:hAnsi="Sylfaen"/>
              </w:rPr>
              <w:t>e</w:t>
            </w:r>
            <w:r w:rsidRPr="00F54982">
              <w:rPr>
                <w:lang w:val="ka-GE"/>
              </w:rPr>
              <w:t xml:space="preserve">) </w:t>
            </w:r>
            <w:proofErr w:type="gramStart"/>
            <w:r w:rsidRPr="00F54982">
              <w:rPr>
                <w:rFonts w:ascii="Sylfaen" w:hAnsi="Sylfaen"/>
                <w:lang w:val="ka-GE"/>
              </w:rPr>
              <w:t>მიაწოდოს</w:t>
            </w:r>
            <w:proofErr w:type="gramEnd"/>
            <w:r w:rsidRPr="00F54982">
              <w:rPr>
                <w:lang w:val="ka-GE"/>
              </w:rPr>
              <w:t xml:space="preserve"> </w:t>
            </w:r>
            <w:r w:rsidRPr="00F54982">
              <w:rPr>
                <w:rFonts w:ascii="Sylfaen" w:hAnsi="Sylfaen"/>
                <w:lang w:val="ka-GE"/>
              </w:rPr>
              <w:t>ინფორმაცია</w:t>
            </w:r>
            <w:r w:rsidRPr="00F54982">
              <w:rPr>
                <w:lang w:val="ka-GE"/>
              </w:rPr>
              <w:t xml:space="preserve"> </w:t>
            </w:r>
            <w:r w:rsidRPr="00F54982">
              <w:rPr>
                <w:rFonts w:ascii="Sylfaen" w:hAnsi="Sylfaen"/>
                <w:lang w:val="ka-GE"/>
              </w:rPr>
              <w:t>არსებულ</w:t>
            </w:r>
            <w:r w:rsidRPr="00F54982">
              <w:rPr>
                <w:lang w:val="ka-GE"/>
              </w:rPr>
              <w:t xml:space="preserve"> </w:t>
            </w:r>
            <w:r w:rsidRPr="00F54982">
              <w:rPr>
                <w:rFonts w:ascii="Sylfaen" w:hAnsi="Sylfaen"/>
                <w:lang w:val="ka-GE"/>
              </w:rPr>
              <w:t>დასაქმებულთა</w:t>
            </w:r>
            <w:r w:rsidRPr="00F54982">
              <w:rPr>
                <w:lang w:val="ka-GE"/>
              </w:rPr>
              <w:t xml:space="preserve"> </w:t>
            </w:r>
            <w:r w:rsidRPr="00F54982">
              <w:rPr>
                <w:rFonts w:ascii="Sylfaen" w:hAnsi="Sylfaen"/>
                <w:lang w:val="ka-GE"/>
              </w:rPr>
              <w:t>წარმომადგენლობებს</w:t>
            </w:r>
            <w:r w:rsidRPr="00F54982">
              <w:rPr>
                <w:lang w:val="ka-GE"/>
              </w:rPr>
              <w:t xml:space="preserve"> </w:t>
            </w:r>
            <w:r w:rsidRPr="00F54982">
              <w:rPr>
                <w:rFonts w:ascii="Sylfaen" w:hAnsi="Sylfaen"/>
                <w:lang w:val="ka-GE"/>
              </w:rPr>
              <w:t>დაწესებულებაში</w:t>
            </w:r>
            <w:r w:rsidRPr="00F54982">
              <w:rPr>
                <w:lang w:val="ka-GE"/>
              </w:rPr>
              <w:t xml:space="preserve"> </w:t>
            </w:r>
            <w:r w:rsidRPr="00F54982">
              <w:rPr>
                <w:rFonts w:ascii="Sylfaen" w:hAnsi="Sylfaen"/>
                <w:lang w:val="ka-GE"/>
              </w:rPr>
              <w:t>არასრული</w:t>
            </w:r>
            <w:r w:rsidRPr="00F54982">
              <w:rPr>
                <w:lang w:val="ka-GE"/>
              </w:rPr>
              <w:t xml:space="preserve"> </w:t>
            </w:r>
            <w:r w:rsidRPr="00F54982">
              <w:rPr>
                <w:rFonts w:ascii="Sylfaen" w:hAnsi="Sylfaen"/>
                <w:lang w:val="ka-GE"/>
              </w:rPr>
              <w:t>სამუშაო</w:t>
            </w:r>
            <w:r w:rsidRPr="00F54982">
              <w:rPr>
                <w:lang w:val="ka-GE"/>
              </w:rPr>
              <w:t xml:space="preserve"> </w:t>
            </w:r>
            <w:r w:rsidRPr="00F54982">
              <w:rPr>
                <w:rFonts w:ascii="Sylfaen" w:hAnsi="Sylfaen"/>
                <w:lang w:val="ka-GE"/>
              </w:rPr>
              <w:t>განაკვეთზე</w:t>
            </w:r>
            <w:r w:rsidRPr="00F54982">
              <w:rPr>
                <w:lang w:val="ka-GE"/>
              </w:rPr>
              <w:t xml:space="preserve"> </w:t>
            </w:r>
            <w:r w:rsidRPr="00F54982">
              <w:rPr>
                <w:rFonts w:ascii="Sylfaen" w:hAnsi="Sylfaen"/>
                <w:lang w:val="ka-GE"/>
              </w:rPr>
              <w:t>დასაქმების</w:t>
            </w:r>
            <w:r w:rsidRPr="00F54982">
              <w:rPr>
                <w:lang w:val="ka-GE"/>
              </w:rPr>
              <w:t xml:space="preserve"> </w:t>
            </w:r>
            <w:r w:rsidRPr="00F54982">
              <w:rPr>
                <w:rFonts w:ascii="Sylfaen" w:hAnsi="Sylfaen"/>
                <w:lang w:val="ka-GE"/>
              </w:rPr>
              <w:t>შესახებ</w:t>
            </w:r>
            <w:r w:rsidRPr="00F54982">
              <w:rPr>
                <w:lang w:val="ka-GE"/>
              </w:rPr>
              <w:t>.</w:t>
            </w:r>
          </w:p>
        </w:tc>
        <w:tc>
          <w:tcPr>
            <w:tcW w:w="357" w:type="dxa"/>
          </w:tcPr>
          <w:p w:rsidR="00D51A1F" w:rsidRPr="00340AED" w:rsidRDefault="00D51A1F" w:rsidP="00D51A1F">
            <w:pPr>
              <w:jc w:val="both"/>
              <w:rPr>
                <w:rFonts w:ascii="Sylfaen" w:hAnsi="Sylfaen"/>
                <w:lang w:val="ka-GE"/>
              </w:rPr>
            </w:pPr>
            <w:r>
              <w:rPr>
                <w:rFonts w:ascii="Sylfaen" w:hAnsi="Sylfaen"/>
                <w:lang w:val="ka-GE"/>
              </w:rPr>
              <w:lastRenderedPageBreak/>
              <w:t>1</w:t>
            </w:r>
          </w:p>
        </w:tc>
        <w:tc>
          <w:tcPr>
            <w:tcW w:w="666" w:type="dxa"/>
          </w:tcPr>
          <w:p w:rsidR="00D51A1F" w:rsidRPr="00340AED" w:rsidRDefault="00D51A1F" w:rsidP="00D51A1F">
            <w:pPr>
              <w:jc w:val="both"/>
              <w:rPr>
                <w:rFonts w:ascii="Sylfaen" w:hAnsi="Sylfaen"/>
                <w:lang w:val="ka-GE"/>
              </w:rPr>
            </w:pPr>
            <w:r>
              <w:rPr>
                <w:rFonts w:ascii="Sylfaen" w:hAnsi="Sylfaen"/>
                <w:lang w:val="ka-GE"/>
              </w:rPr>
              <w:t>16.4</w:t>
            </w:r>
          </w:p>
        </w:tc>
        <w:tc>
          <w:tcPr>
            <w:tcW w:w="3420" w:type="dxa"/>
          </w:tcPr>
          <w:p w:rsidR="00D51A1F" w:rsidRDefault="00D51A1F" w:rsidP="00D51A1F">
            <w:pPr>
              <w:jc w:val="both"/>
              <w:rPr>
                <w:rFonts w:ascii="Sylfaen" w:hAnsi="Sylfaen"/>
                <w:lang w:val="ka-GE"/>
              </w:rPr>
            </w:pPr>
            <w:r w:rsidRPr="00477075">
              <w:rPr>
                <w:rFonts w:ascii="Sylfaen" w:hAnsi="Sylfaen"/>
                <w:lang w:val="ka-GE"/>
              </w:rPr>
              <w:t>რამდენადაც ეს შესაძლებელია, დამსაქმებელმა უნდა გაითვალისწინოს:</w:t>
            </w:r>
          </w:p>
          <w:p w:rsidR="00D51A1F" w:rsidRDefault="00D51A1F" w:rsidP="00D51A1F">
            <w:pPr>
              <w:jc w:val="both"/>
              <w:rPr>
                <w:rFonts w:ascii="Sylfaen" w:hAnsi="Sylfaen"/>
              </w:rPr>
            </w:pPr>
          </w:p>
          <w:p w:rsidR="00D51A1F" w:rsidRDefault="00D51A1F" w:rsidP="00D51A1F">
            <w:pPr>
              <w:jc w:val="both"/>
              <w:rPr>
                <w:rFonts w:ascii="Sylfaen" w:hAnsi="Sylfaen"/>
                <w:lang w:val="ka-GE"/>
              </w:rPr>
            </w:pPr>
            <w:r w:rsidRPr="00477075">
              <w:rPr>
                <w:rFonts w:ascii="Sylfaen" w:hAnsi="Sylfaen"/>
                <w:lang w:val="ka-GE"/>
              </w:rPr>
              <w:t>ა) დასაქმებულთა მოთხოვნა სრული განაკვეთის სამუშაოდან დამსაქმებელთან არსებული არასრულ სამუშაო განაკვეთზე გადასვლის შესახებ;</w:t>
            </w:r>
          </w:p>
          <w:p w:rsidR="00D51A1F" w:rsidRDefault="00D51A1F" w:rsidP="00D51A1F">
            <w:pPr>
              <w:jc w:val="both"/>
              <w:rPr>
                <w:rFonts w:ascii="Sylfaen" w:hAnsi="Sylfaen"/>
              </w:rPr>
            </w:pPr>
          </w:p>
          <w:p w:rsidR="00D51A1F" w:rsidRPr="005B2848" w:rsidRDefault="00D51A1F" w:rsidP="00D51A1F">
            <w:pPr>
              <w:jc w:val="both"/>
              <w:rPr>
                <w:rFonts w:ascii="Sylfaen" w:hAnsi="Sylfaen"/>
                <w:lang w:val="ka-GE"/>
              </w:rPr>
            </w:pPr>
            <w:r w:rsidRPr="00477075">
              <w:rPr>
                <w:rFonts w:ascii="Sylfaen" w:hAnsi="Sylfaen"/>
                <w:lang w:val="ka-GE"/>
              </w:rPr>
              <w:t>ბ) დასაქმებულთა მოთხოვნა არასრული სამუშაო განაკვეთიდან სრულ სამუშაო განაკვეთზე გადასვლის ან სამუშაო დროის გაზრდის შესახებ, ასეთი შესაძლებლობის არსებობისას;</w:t>
            </w:r>
          </w:p>
          <w:p w:rsidR="00D51A1F" w:rsidRPr="00C76566" w:rsidRDefault="00D51A1F" w:rsidP="00D51A1F">
            <w:pPr>
              <w:jc w:val="both"/>
              <w:rPr>
                <w:rFonts w:ascii="Sylfaen" w:hAnsi="Sylfaen"/>
              </w:rPr>
            </w:pPr>
          </w:p>
          <w:p w:rsidR="00D51A1F" w:rsidRDefault="00D51A1F" w:rsidP="00D51A1F">
            <w:pPr>
              <w:jc w:val="both"/>
              <w:rPr>
                <w:rFonts w:ascii="Sylfaen" w:hAnsi="Sylfaen"/>
                <w:lang w:val="ka-GE"/>
              </w:rPr>
            </w:pPr>
            <w:r w:rsidRPr="00477075">
              <w:rPr>
                <w:rFonts w:ascii="Sylfaen" w:hAnsi="Sylfaen"/>
                <w:lang w:val="ka-GE"/>
              </w:rPr>
              <w:lastRenderedPageBreak/>
              <w:t xml:space="preserve">გ) არსებული სრული და არასრული სამუშაო განაკვეთების შესახებ ინფორმაციის დროულად გავრცელება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ხელშეწყობის უზრუნველსაყოფად. </w:t>
            </w:r>
          </w:p>
          <w:p w:rsidR="00D51A1F" w:rsidRDefault="00D51A1F" w:rsidP="00D51A1F">
            <w:pPr>
              <w:jc w:val="both"/>
              <w:rPr>
                <w:rFonts w:ascii="Sylfaen" w:hAnsi="Sylfaen"/>
              </w:rPr>
            </w:pPr>
          </w:p>
          <w:p w:rsidR="00D51A1F" w:rsidRDefault="00D51A1F" w:rsidP="00D51A1F">
            <w:pPr>
              <w:jc w:val="both"/>
              <w:rPr>
                <w:rFonts w:ascii="Sylfaen" w:hAnsi="Sylfaen"/>
              </w:rPr>
            </w:pPr>
          </w:p>
          <w:p w:rsidR="00D51A1F" w:rsidRPr="00340AED" w:rsidRDefault="00D51A1F" w:rsidP="00D51A1F">
            <w:pPr>
              <w:jc w:val="both"/>
              <w:rPr>
                <w:rFonts w:ascii="Sylfaen" w:hAnsi="Sylfaen"/>
                <w:lang w:val="ka-GE"/>
              </w:rPr>
            </w:pPr>
            <w:r w:rsidRPr="00477075">
              <w:rPr>
                <w:rFonts w:ascii="Sylfaen" w:hAnsi="Sylfaen"/>
                <w:lang w:val="ka-GE"/>
              </w:rPr>
              <w:t>დ) წამახალისებელი ღონისძიებები საწარმოს ყველა დონეზე (მათ შორის წამყვანი/მენეჯერული თანამდებობების ჩათვლით) არასრული სამუშაო განაკვეთის ხელმისაწვდომობისთვის ასევე, სადაც ეს მიზანშეწონილია,  არასრულ სამუშაო განაკვეთზე დასაქმებული პირების პროფესიული მომზადების, კარიერული წინსვლისა და პროფესიული მობილობის ხელშეწყობისთვის</w:t>
            </w:r>
          </w:p>
        </w:tc>
        <w:tc>
          <w:tcPr>
            <w:tcW w:w="630" w:type="dxa"/>
          </w:tcPr>
          <w:p w:rsidR="00D51A1F" w:rsidRPr="00C76566" w:rsidRDefault="00D51A1F" w:rsidP="00D51A1F">
            <w:pPr>
              <w:jc w:val="both"/>
              <w:rPr>
                <w:rFonts w:ascii="Sylfaen" w:hAnsi="Sylfaen"/>
                <w:lang w:val="ka-GE"/>
              </w:rPr>
            </w:pPr>
            <w:r>
              <w:rPr>
                <w:rFonts w:ascii="Sylfaen" w:hAnsi="Sylfaen"/>
                <w:lang w:val="ka-GE"/>
              </w:rPr>
              <w:lastRenderedPageBreak/>
              <w:t>სშ</w:t>
            </w:r>
          </w:p>
        </w:tc>
        <w:tc>
          <w:tcPr>
            <w:tcW w:w="4950" w:type="dxa"/>
          </w:tcPr>
          <w:p w:rsidR="00D51A1F" w:rsidRPr="00340AED" w:rsidRDefault="008E2B7F" w:rsidP="00D51A1F">
            <w:pPr>
              <w:jc w:val="both"/>
              <w:rPr>
                <w:rFonts w:ascii="Sylfaen" w:hAnsi="Sylfaen"/>
                <w:lang w:val="ka-GE"/>
              </w:rPr>
            </w:pPr>
            <w:r>
              <w:rPr>
                <w:rFonts w:ascii="Sylfaen" w:hAnsi="Sylfaen"/>
                <w:lang w:val="ka-GE"/>
              </w:rPr>
              <w:t>კანონპროექტში სრულად არის ასახული დირექტივი</w:t>
            </w:r>
            <w:r w:rsidR="005923E0">
              <w:rPr>
                <w:rFonts w:ascii="Sylfaen" w:hAnsi="Sylfaen"/>
                <w:lang w:val="ka-GE"/>
              </w:rPr>
              <w:t>თ დადგენილი</w:t>
            </w:r>
            <w:r>
              <w:rPr>
                <w:rFonts w:ascii="Sylfaen" w:hAnsi="Sylfaen"/>
                <w:lang w:val="ka-GE"/>
              </w:rPr>
              <w:t xml:space="preserve"> სტანდარტი.</w:t>
            </w:r>
          </w:p>
        </w:tc>
      </w:tr>
      <w:tr w:rsidR="00D51A1F" w:rsidRPr="00381570" w:rsidTr="00997D7F">
        <w:tc>
          <w:tcPr>
            <w:tcW w:w="918" w:type="dxa"/>
          </w:tcPr>
          <w:p w:rsidR="00D51A1F" w:rsidRDefault="00D51A1F" w:rsidP="00D51A1F">
            <w:pPr>
              <w:jc w:val="both"/>
              <w:rPr>
                <w:rFonts w:ascii="Sylfaen" w:hAnsi="Sylfaen"/>
                <w:lang w:val="ka-GE"/>
              </w:rPr>
            </w:pPr>
            <w:r>
              <w:rPr>
                <w:rFonts w:ascii="Sylfaen" w:hAnsi="Sylfaen"/>
                <w:lang w:val="ka-GE"/>
              </w:rPr>
              <w:lastRenderedPageBreak/>
              <w:t>6.1.</w:t>
            </w: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D51A1F" w:rsidRDefault="00D51A1F" w:rsidP="00D51A1F">
            <w:pPr>
              <w:jc w:val="both"/>
              <w:rPr>
                <w:rFonts w:ascii="Sylfaen" w:hAnsi="Sylfaen"/>
                <w:lang w:val="ka-GE"/>
              </w:rPr>
            </w:pPr>
          </w:p>
          <w:p w:rsidR="008E2B7F" w:rsidRDefault="008E2B7F" w:rsidP="00D51A1F">
            <w:pPr>
              <w:jc w:val="both"/>
              <w:rPr>
                <w:rFonts w:ascii="Sylfaen" w:hAnsi="Sylfaen"/>
                <w:lang w:val="ka-GE"/>
              </w:rPr>
            </w:pPr>
          </w:p>
          <w:p w:rsidR="00D51A1F" w:rsidRDefault="00D51A1F" w:rsidP="00AB74DE">
            <w:pPr>
              <w:jc w:val="both"/>
              <w:rPr>
                <w:rFonts w:ascii="Sylfaen" w:hAnsi="Sylfaen"/>
                <w:lang w:val="ka-GE"/>
              </w:rPr>
            </w:pPr>
          </w:p>
        </w:tc>
        <w:tc>
          <w:tcPr>
            <w:tcW w:w="2037" w:type="dxa"/>
          </w:tcPr>
          <w:p w:rsidR="00D51A1F" w:rsidRDefault="00D51A1F" w:rsidP="00D51A1F">
            <w:pPr>
              <w:jc w:val="both"/>
              <w:rPr>
                <w:rFonts w:ascii="Sylfaen" w:hAnsi="Sylfaen"/>
                <w:lang w:val="ka-GE"/>
              </w:rPr>
            </w:pPr>
            <w:r w:rsidRPr="000F7C18">
              <w:rPr>
                <w:rFonts w:ascii="Sylfaen" w:hAnsi="Sylfaen"/>
                <w:lang w:val="ka-GE"/>
              </w:rPr>
              <w:lastRenderedPageBreak/>
              <w:t xml:space="preserve">წევრ სახელმწიფოებს და/ან სოციალურ პარტნიორებს შეუძლიათ შეინარჩუნონ ან შემოიღონ წინამდებარე შეთანხმებაში </w:t>
            </w:r>
            <w:r w:rsidRPr="000F7C18">
              <w:rPr>
                <w:rFonts w:ascii="Sylfaen" w:hAnsi="Sylfaen"/>
                <w:lang w:val="ka-GE"/>
              </w:rPr>
              <w:lastRenderedPageBreak/>
              <w:t>განსაზღვრულ პირობებზე უფრო ხელსაყრელი პირობები.</w:t>
            </w:r>
          </w:p>
          <w:p w:rsidR="00D51A1F" w:rsidRDefault="00D51A1F" w:rsidP="00D51A1F">
            <w:pPr>
              <w:jc w:val="both"/>
              <w:rPr>
                <w:rFonts w:ascii="Sylfaen" w:hAnsi="Sylfaen"/>
                <w:lang w:val="ka-GE"/>
              </w:rPr>
            </w:pPr>
          </w:p>
          <w:p w:rsidR="00D51A1F" w:rsidRPr="00F54982" w:rsidRDefault="00D51A1F" w:rsidP="00AB74DE">
            <w:pPr>
              <w:jc w:val="both"/>
              <w:rPr>
                <w:rFonts w:ascii="Sylfaen" w:hAnsi="Sylfaen"/>
                <w:lang w:val="ka-GE"/>
              </w:rPr>
            </w:pPr>
          </w:p>
        </w:tc>
        <w:tc>
          <w:tcPr>
            <w:tcW w:w="357" w:type="dxa"/>
          </w:tcPr>
          <w:p w:rsidR="00D51A1F" w:rsidRDefault="00D51A1F" w:rsidP="00D51A1F">
            <w:pPr>
              <w:jc w:val="both"/>
              <w:rPr>
                <w:rFonts w:ascii="Sylfaen" w:hAnsi="Sylfaen"/>
                <w:lang w:val="ka-GE"/>
              </w:rPr>
            </w:pPr>
          </w:p>
        </w:tc>
        <w:tc>
          <w:tcPr>
            <w:tcW w:w="666" w:type="dxa"/>
          </w:tcPr>
          <w:p w:rsidR="00D51A1F" w:rsidRDefault="00D51A1F" w:rsidP="00D51A1F">
            <w:pPr>
              <w:jc w:val="both"/>
              <w:rPr>
                <w:rFonts w:ascii="Sylfaen" w:hAnsi="Sylfaen"/>
                <w:lang w:val="ka-GE"/>
              </w:rPr>
            </w:pPr>
          </w:p>
        </w:tc>
        <w:tc>
          <w:tcPr>
            <w:tcW w:w="3420" w:type="dxa"/>
          </w:tcPr>
          <w:p w:rsidR="00D51A1F" w:rsidRPr="00477075" w:rsidRDefault="00D51A1F" w:rsidP="00D51A1F">
            <w:pPr>
              <w:jc w:val="both"/>
              <w:rPr>
                <w:rFonts w:ascii="Sylfaen" w:hAnsi="Sylfaen"/>
                <w:lang w:val="ka-GE"/>
              </w:rPr>
            </w:pPr>
          </w:p>
        </w:tc>
        <w:tc>
          <w:tcPr>
            <w:tcW w:w="630" w:type="dxa"/>
          </w:tcPr>
          <w:p w:rsidR="00D51A1F" w:rsidRDefault="008E2B7F" w:rsidP="00D51A1F">
            <w:pPr>
              <w:jc w:val="both"/>
              <w:rPr>
                <w:rFonts w:ascii="Sylfaen" w:hAnsi="Sylfaen"/>
                <w:lang w:val="ka-GE"/>
              </w:rPr>
            </w:pPr>
            <w:r>
              <w:rPr>
                <w:rFonts w:ascii="Sylfaen" w:hAnsi="Sylfaen"/>
                <w:lang w:val="ka-GE"/>
              </w:rPr>
              <w:t>ას</w:t>
            </w:r>
          </w:p>
        </w:tc>
        <w:tc>
          <w:tcPr>
            <w:tcW w:w="4950" w:type="dxa"/>
          </w:tcPr>
          <w:p w:rsidR="005923E0" w:rsidRDefault="005923E0" w:rsidP="00D51A1F">
            <w:pPr>
              <w:jc w:val="both"/>
              <w:rPr>
                <w:rFonts w:ascii="Sylfaen" w:hAnsi="Sylfaen"/>
                <w:lang w:val="ka-GE"/>
              </w:rPr>
            </w:pPr>
            <w:r>
              <w:rPr>
                <w:rFonts w:ascii="Sylfaen" w:hAnsi="Sylfaen"/>
                <w:lang w:val="ka-GE"/>
              </w:rPr>
              <w:t xml:space="preserve">დირექტივის აღნიშნული დებულებები მიემართება მისი მიღების მომენტისთვის წევრი სახელმწიფოების მიერ გასატარებელ ღონისძიებებს დირექტივის სწორი იმპლემენტაციის უზრუნველსაყოფად. თუმცა, აქვე უნდა აღნიშნოს, რომ </w:t>
            </w:r>
          </w:p>
          <w:p w:rsidR="00D51A1F" w:rsidRPr="00340AED" w:rsidRDefault="008E2B7F" w:rsidP="00D51A1F">
            <w:pPr>
              <w:jc w:val="both"/>
              <w:rPr>
                <w:rFonts w:ascii="Sylfaen" w:hAnsi="Sylfaen"/>
                <w:lang w:val="ka-GE"/>
              </w:rPr>
            </w:pPr>
            <w:r>
              <w:rPr>
                <w:rFonts w:ascii="Sylfaen" w:hAnsi="Sylfaen"/>
                <w:lang w:val="ka-GE"/>
              </w:rPr>
              <w:t xml:space="preserve">წარმოდგენილი კანონპროექტი აუმჯობესებს </w:t>
            </w:r>
            <w:r w:rsidR="005923E0">
              <w:rPr>
                <w:rFonts w:ascii="Sylfaen" w:hAnsi="Sylfaen"/>
                <w:lang w:val="ka-GE"/>
              </w:rPr>
              <w:t xml:space="preserve">არსებულ </w:t>
            </w:r>
            <w:r>
              <w:rPr>
                <w:rFonts w:ascii="Sylfaen" w:hAnsi="Sylfaen"/>
                <w:lang w:val="ka-GE"/>
              </w:rPr>
              <w:t>სტანდარტს</w:t>
            </w:r>
            <w:r w:rsidR="005923E0">
              <w:rPr>
                <w:rFonts w:ascii="Sylfaen" w:hAnsi="Sylfaen"/>
                <w:lang w:val="ka-GE"/>
              </w:rPr>
              <w:t xml:space="preserve"> და </w:t>
            </w:r>
            <w:r>
              <w:rPr>
                <w:rFonts w:ascii="Sylfaen" w:hAnsi="Sylfaen"/>
                <w:lang w:val="ka-GE"/>
              </w:rPr>
              <w:t>სწორედ, დ</w:t>
            </w:r>
            <w:r w:rsidR="005923E0">
              <w:rPr>
                <w:rFonts w:ascii="Sylfaen" w:hAnsi="Sylfaen"/>
                <w:lang w:val="ka-GE"/>
              </w:rPr>
              <w:t xml:space="preserve">ასაქმებულის უფლებრივი მდგომარეობის </w:t>
            </w:r>
            <w:r w:rsidR="005923E0">
              <w:rPr>
                <w:rFonts w:ascii="Sylfaen" w:hAnsi="Sylfaen"/>
                <w:lang w:val="ka-GE"/>
              </w:rPr>
              <w:lastRenderedPageBreak/>
              <w:t xml:space="preserve">გაუმჯობესება არის საკანონმდებლო ცვლილებების განხორციელების ერთ-ერთი </w:t>
            </w:r>
            <w:bookmarkStart w:id="1" w:name="_GoBack"/>
            <w:bookmarkEnd w:id="1"/>
            <w:r w:rsidR="005923E0">
              <w:rPr>
                <w:rFonts w:ascii="Sylfaen" w:hAnsi="Sylfaen"/>
                <w:lang w:val="ka-GE"/>
              </w:rPr>
              <w:t xml:space="preserve">ძირითადი მიზანი. </w:t>
            </w:r>
          </w:p>
        </w:tc>
      </w:tr>
      <w:tr w:rsidR="00AB74DE" w:rsidRPr="00381570" w:rsidTr="00997D7F">
        <w:tc>
          <w:tcPr>
            <w:tcW w:w="918" w:type="dxa"/>
          </w:tcPr>
          <w:p w:rsidR="00AB74DE" w:rsidRDefault="00AB74DE" w:rsidP="00AB74DE">
            <w:pPr>
              <w:jc w:val="both"/>
              <w:rPr>
                <w:rFonts w:ascii="Sylfaen" w:hAnsi="Sylfaen"/>
                <w:lang w:val="ka-GE"/>
              </w:rPr>
            </w:pPr>
            <w:r>
              <w:rPr>
                <w:rFonts w:ascii="Sylfaen" w:hAnsi="Sylfaen"/>
                <w:lang w:val="ka-GE"/>
              </w:rPr>
              <w:lastRenderedPageBreak/>
              <w:t>6.2.</w:t>
            </w: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Pr="00AB74DE" w:rsidRDefault="00AB74DE" w:rsidP="00D51A1F">
            <w:pPr>
              <w:jc w:val="both"/>
              <w:rPr>
                <w:rFonts w:ascii="Sylfaen" w:hAnsi="Sylfaen"/>
              </w:rPr>
            </w:pPr>
          </w:p>
        </w:tc>
        <w:tc>
          <w:tcPr>
            <w:tcW w:w="2037" w:type="dxa"/>
          </w:tcPr>
          <w:p w:rsidR="00AB74DE" w:rsidRPr="00AB74DE" w:rsidRDefault="00AB74DE" w:rsidP="00AB74DE">
            <w:pPr>
              <w:jc w:val="both"/>
              <w:rPr>
                <w:rFonts w:ascii="Sylfaen" w:hAnsi="Sylfaen"/>
              </w:rPr>
            </w:pPr>
            <w:r w:rsidRPr="000F7C18">
              <w:rPr>
                <w:rFonts w:ascii="Sylfaen" w:hAnsi="Sylfaen"/>
                <w:lang w:val="ka-GE"/>
              </w:rPr>
              <w:lastRenderedPageBreak/>
              <w:t xml:space="preserve">ამ შეთანხმების განხორციელება (იმპლემენტაცია) არ წარმოადგენს ამ შეთანხმებას დაქვემდებარებულ სფეროში დასაქმებულების ზოგადი დაცვის დონის შემცირების საფუძველს; ეს არ ეხება წევრი სახელმწიფოების და/ან სოციალური პარტნიორების უფლებას, გარემოებების ცვლილებისას განავითარონ სამართლებრივი </w:t>
            </w:r>
            <w:r w:rsidRPr="000F7C18">
              <w:rPr>
                <w:rFonts w:ascii="Sylfaen" w:hAnsi="Sylfaen"/>
                <w:lang w:val="ka-GE"/>
              </w:rPr>
              <w:lastRenderedPageBreak/>
              <w:t>და ადმინისტრაციული ნორმები ან კოლექტიური ხელშეკრულებების დებულებები და არ ეწინააღმდეგება 5(1) პარაგრაფს, თუ დაცულია 4(1) პარაგრაფში განსაზღვრული პრინციპები დისკრიმინაციის აკრძალვის შესახებ.</w:t>
            </w:r>
          </w:p>
        </w:tc>
        <w:tc>
          <w:tcPr>
            <w:tcW w:w="357" w:type="dxa"/>
          </w:tcPr>
          <w:p w:rsidR="00AB74DE" w:rsidRDefault="00AB74DE" w:rsidP="00D51A1F">
            <w:pPr>
              <w:jc w:val="both"/>
              <w:rPr>
                <w:rFonts w:ascii="Sylfaen" w:hAnsi="Sylfaen"/>
                <w:lang w:val="ka-GE"/>
              </w:rPr>
            </w:pPr>
          </w:p>
        </w:tc>
        <w:tc>
          <w:tcPr>
            <w:tcW w:w="666" w:type="dxa"/>
          </w:tcPr>
          <w:p w:rsidR="00AB74DE" w:rsidRDefault="00AB74DE" w:rsidP="00D51A1F">
            <w:pPr>
              <w:jc w:val="both"/>
              <w:rPr>
                <w:rFonts w:ascii="Sylfaen" w:hAnsi="Sylfaen"/>
                <w:lang w:val="ka-GE"/>
              </w:rPr>
            </w:pPr>
          </w:p>
        </w:tc>
        <w:tc>
          <w:tcPr>
            <w:tcW w:w="3420" w:type="dxa"/>
          </w:tcPr>
          <w:p w:rsidR="00AB74DE" w:rsidRPr="00477075" w:rsidRDefault="00AB74DE" w:rsidP="00D51A1F">
            <w:pPr>
              <w:jc w:val="both"/>
              <w:rPr>
                <w:rFonts w:ascii="Sylfaen" w:hAnsi="Sylfaen"/>
                <w:lang w:val="ka-GE"/>
              </w:rPr>
            </w:pPr>
          </w:p>
        </w:tc>
        <w:tc>
          <w:tcPr>
            <w:tcW w:w="630" w:type="dxa"/>
          </w:tcPr>
          <w:p w:rsidR="00AB74DE" w:rsidRDefault="00A03FE3" w:rsidP="00D51A1F">
            <w:pPr>
              <w:jc w:val="both"/>
              <w:rPr>
                <w:rFonts w:ascii="Sylfaen" w:hAnsi="Sylfaen"/>
                <w:lang w:val="ka-GE"/>
              </w:rPr>
            </w:pPr>
            <w:r>
              <w:rPr>
                <w:rFonts w:ascii="Sylfaen" w:hAnsi="Sylfaen"/>
                <w:lang w:val="ka-GE"/>
              </w:rPr>
              <w:t>ას</w:t>
            </w:r>
          </w:p>
        </w:tc>
        <w:tc>
          <w:tcPr>
            <w:tcW w:w="4950" w:type="dxa"/>
          </w:tcPr>
          <w:p w:rsidR="00AB74DE" w:rsidRDefault="00A03FE3" w:rsidP="00D51A1F">
            <w:pPr>
              <w:jc w:val="both"/>
              <w:rPr>
                <w:rFonts w:ascii="Sylfaen" w:hAnsi="Sylfaen"/>
                <w:lang w:val="ka-GE"/>
              </w:rPr>
            </w:pPr>
            <w:r>
              <w:rPr>
                <w:rFonts w:ascii="Sylfaen" w:hAnsi="Sylfaen"/>
                <w:lang w:val="ka-GE"/>
              </w:rPr>
              <w:t>იხ.პუნქტი 6.1.</w:t>
            </w:r>
          </w:p>
        </w:tc>
      </w:tr>
      <w:tr w:rsidR="00D51A1F" w:rsidRPr="00381570" w:rsidTr="00997D7F">
        <w:tc>
          <w:tcPr>
            <w:tcW w:w="918" w:type="dxa"/>
          </w:tcPr>
          <w:p w:rsidR="00AB74DE" w:rsidRDefault="00AB74DE" w:rsidP="00AB74DE">
            <w:pPr>
              <w:jc w:val="both"/>
              <w:rPr>
                <w:rFonts w:ascii="Sylfaen" w:hAnsi="Sylfaen"/>
                <w:lang w:val="ka-GE"/>
              </w:rPr>
            </w:pPr>
            <w:r>
              <w:rPr>
                <w:rFonts w:ascii="Sylfaen" w:hAnsi="Sylfaen"/>
                <w:lang w:val="ka-GE"/>
              </w:rPr>
              <w:lastRenderedPageBreak/>
              <w:t>6.3.</w:t>
            </w: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D51A1F" w:rsidRPr="00AB74DE" w:rsidRDefault="00D51A1F" w:rsidP="00AB74DE">
            <w:pPr>
              <w:jc w:val="both"/>
              <w:rPr>
                <w:rFonts w:ascii="Sylfaen" w:hAnsi="Sylfaen"/>
              </w:rPr>
            </w:pPr>
          </w:p>
        </w:tc>
        <w:tc>
          <w:tcPr>
            <w:tcW w:w="2037" w:type="dxa"/>
          </w:tcPr>
          <w:p w:rsidR="00D51A1F" w:rsidRPr="00AB74DE" w:rsidRDefault="00AB74DE" w:rsidP="00AB74DE">
            <w:pPr>
              <w:jc w:val="both"/>
              <w:rPr>
                <w:rFonts w:ascii="Sylfaen" w:hAnsi="Sylfaen"/>
              </w:rPr>
            </w:pPr>
            <w:r w:rsidRPr="000F7C18">
              <w:rPr>
                <w:rFonts w:ascii="Sylfaen" w:hAnsi="Sylfaen"/>
                <w:lang w:val="ka-GE"/>
              </w:rPr>
              <w:lastRenderedPageBreak/>
              <w:t>ეს შეთანხმება არ ეხება სოციალურ პარტნიორების უფლებას შესაბამის დონეზე, ევროპული დონის ჩათვლით, გააფორმონ შეთანხმებები წინამდებარე შეთანხმების ადაპტაციისა და დამატებების შესახებ, რათა გათვალისწინებუ</w:t>
            </w:r>
            <w:r w:rsidRPr="000F7C18">
              <w:rPr>
                <w:rFonts w:ascii="Sylfaen" w:hAnsi="Sylfaen"/>
                <w:lang w:val="ka-GE"/>
              </w:rPr>
              <w:lastRenderedPageBreak/>
              <w:t>ლ იქნას შესაბამისი სოციალური პარტნიორების სპეციფიკური მოთხოვნები.</w:t>
            </w:r>
          </w:p>
        </w:tc>
        <w:tc>
          <w:tcPr>
            <w:tcW w:w="357" w:type="dxa"/>
          </w:tcPr>
          <w:p w:rsidR="00D51A1F" w:rsidRDefault="00D51A1F" w:rsidP="00D51A1F">
            <w:pPr>
              <w:jc w:val="both"/>
              <w:rPr>
                <w:rFonts w:ascii="Sylfaen" w:hAnsi="Sylfaen"/>
                <w:lang w:val="ka-GE"/>
              </w:rPr>
            </w:pPr>
          </w:p>
        </w:tc>
        <w:tc>
          <w:tcPr>
            <w:tcW w:w="666" w:type="dxa"/>
          </w:tcPr>
          <w:p w:rsidR="00D51A1F" w:rsidRDefault="00D51A1F" w:rsidP="00D51A1F">
            <w:pPr>
              <w:jc w:val="both"/>
              <w:rPr>
                <w:rFonts w:ascii="Sylfaen" w:hAnsi="Sylfaen"/>
                <w:lang w:val="ka-GE"/>
              </w:rPr>
            </w:pPr>
          </w:p>
        </w:tc>
        <w:tc>
          <w:tcPr>
            <w:tcW w:w="3420" w:type="dxa"/>
          </w:tcPr>
          <w:p w:rsidR="00D51A1F" w:rsidRPr="00477075" w:rsidRDefault="00D51A1F" w:rsidP="00D51A1F">
            <w:pPr>
              <w:jc w:val="both"/>
              <w:rPr>
                <w:rFonts w:ascii="Sylfaen" w:hAnsi="Sylfaen"/>
                <w:lang w:val="ka-GE"/>
              </w:rPr>
            </w:pPr>
          </w:p>
        </w:tc>
        <w:tc>
          <w:tcPr>
            <w:tcW w:w="630" w:type="dxa"/>
          </w:tcPr>
          <w:p w:rsidR="00D51A1F" w:rsidRDefault="00A03FE3" w:rsidP="00D51A1F">
            <w:pPr>
              <w:jc w:val="both"/>
              <w:rPr>
                <w:rFonts w:ascii="Sylfaen" w:hAnsi="Sylfaen"/>
                <w:lang w:val="ka-GE"/>
              </w:rPr>
            </w:pPr>
            <w:r>
              <w:rPr>
                <w:rFonts w:ascii="Sylfaen" w:hAnsi="Sylfaen"/>
                <w:lang w:val="ka-GE"/>
              </w:rPr>
              <w:t>ას</w:t>
            </w:r>
          </w:p>
        </w:tc>
        <w:tc>
          <w:tcPr>
            <w:tcW w:w="4950" w:type="dxa"/>
          </w:tcPr>
          <w:p w:rsidR="00D51A1F" w:rsidRPr="00340AED" w:rsidRDefault="00A03FE3" w:rsidP="00A03FE3">
            <w:pPr>
              <w:jc w:val="both"/>
              <w:rPr>
                <w:rFonts w:ascii="Sylfaen" w:hAnsi="Sylfaen"/>
                <w:lang w:val="ka-GE"/>
              </w:rPr>
            </w:pPr>
            <w:r>
              <w:rPr>
                <w:rFonts w:ascii="Sylfaen" w:hAnsi="Sylfaen"/>
                <w:lang w:val="ka-GE"/>
              </w:rPr>
              <w:t>იხ.პუნქტი 6.1.</w:t>
            </w:r>
          </w:p>
        </w:tc>
      </w:tr>
      <w:tr w:rsidR="00AB74DE" w:rsidRPr="00381570" w:rsidTr="00997D7F">
        <w:tc>
          <w:tcPr>
            <w:tcW w:w="918" w:type="dxa"/>
          </w:tcPr>
          <w:p w:rsidR="00AB74DE" w:rsidRDefault="00AB74DE" w:rsidP="00AB74DE">
            <w:pPr>
              <w:jc w:val="both"/>
              <w:rPr>
                <w:rFonts w:ascii="Sylfaen" w:hAnsi="Sylfaen"/>
                <w:lang w:val="ka-GE"/>
              </w:rPr>
            </w:pPr>
            <w:r>
              <w:rPr>
                <w:rFonts w:ascii="Sylfaen" w:hAnsi="Sylfaen"/>
                <w:lang w:val="ka-GE"/>
              </w:rPr>
              <w:lastRenderedPageBreak/>
              <w:t>6.4.</w:t>
            </w: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Pr="00AB74DE" w:rsidRDefault="00AB74DE" w:rsidP="00AB74DE">
            <w:pPr>
              <w:jc w:val="both"/>
              <w:rPr>
                <w:rFonts w:ascii="Sylfaen" w:hAnsi="Sylfaen"/>
              </w:rPr>
            </w:pPr>
          </w:p>
        </w:tc>
        <w:tc>
          <w:tcPr>
            <w:tcW w:w="2037" w:type="dxa"/>
          </w:tcPr>
          <w:p w:rsidR="00AB74DE" w:rsidRPr="00AB74DE" w:rsidRDefault="00AB74DE" w:rsidP="00AB74DE">
            <w:pPr>
              <w:jc w:val="both"/>
              <w:rPr>
                <w:rFonts w:ascii="Sylfaen" w:hAnsi="Sylfaen"/>
              </w:rPr>
            </w:pPr>
            <w:r w:rsidRPr="000F7C18">
              <w:rPr>
                <w:rFonts w:ascii="Sylfaen" w:hAnsi="Sylfaen"/>
                <w:lang w:val="ka-GE"/>
              </w:rPr>
              <w:t>ეს შეთანხმება ძალაშია ევროგაერთიანების სპეციფიკური დებულებების დაურღვევლად, კერძოდ, ევროკავშირის დებულებების მიმართ ქალთა და მამაკაცთა თანაბარი მოპყრობისა და  თანაბარი შესაძლებლობების შესახებ.</w:t>
            </w:r>
          </w:p>
        </w:tc>
        <w:tc>
          <w:tcPr>
            <w:tcW w:w="357" w:type="dxa"/>
          </w:tcPr>
          <w:p w:rsidR="00AB74DE" w:rsidRDefault="00AB74DE" w:rsidP="00D51A1F">
            <w:pPr>
              <w:jc w:val="both"/>
              <w:rPr>
                <w:rFonts w:ascii="Sylfaen" w:hAnsi="Sylfaen"/>
                <w:lang w:val="ka-GE"/>
              </w:rPr>
            </w:pPr>
          </w:p>
        </w:tc>
        <w:tc>
          <w:tcPr>
            <w:tcW w:w="666" w:type="dxa"/>
          </w:tcPr>
          <w:p w:rsidR="00AB74DE" w:rsidRDefault="00AB74DE" w:rsidP="00D51A1F">
            <w:pPr>
              <w:jc w:val="both"/>
              <w:rPr>
                <w:rFonts w:ascii="Sylfaen" w:hAnsi="Sylfaen"/>
                <w:lang w:val="ka-GE"/>
              </w:rPr>
            </w:pPr>
          </w:p>
        </w:tc>
        <w:tc>
          <w:tcPr>
            <w:tcW w:w="3420" w:type="dxa"/>
          </w:tcPr>
          <w:p w:rsidR="00AB74DE" w:rsidRPr="00477075" w:rsidRDefault="00AB74DE" w:rsidP="00D51A1F">
            <w:pPr>
              <w:jc w:val="both"/>
              <w:rPr>
                <w:rFonts w:ascii="Sylfaen" w:hAnsi="Sylfaen"/>
                <w:lang w:val="ka-GE"/>
              </w:rPr>
            </w:pPr>
          </w:p>
        </w:tc>
        <w:tc>
          <w:tcPr>
            <w:tcW w:w="630" w:type="dxa"/>
          </w:tcPr>
          <w:p w:rsidR="00AB74DE" w:rsidRDefault="00A03FE3" w:rsidP="00D51A1F">
            <w:pPr>
              <w:jc w:val="both"/>
              <w:rPr>
                <w:rFonts w:ascii="Sylfaen" w:hAnsi="Sylfaen"/>
                <w:lang w:val="ka-GE"/>
              </w:rPr>
            </w:pPr>
            <w:r>
              <w:rPr>
                <w:rFonts w:ascii="Sylfaen" w:hAnsi="Sylfaen"/>
                <w:lang w:val="ka-GE"/>
              </w:rPr>
              <w:t>ას</w:t>
            </w:r>
          </w:p>
        </w:tc>
        <w:tc>
          <w:tcPr>
            <w:tcW w:w="4950" w:type="dxa"/>
          </w:tcPr>
          <w:p w:rsidR="00AB74DE" w:rsidRPr="00340AED" w:rsidRDefault="00A03FE3" w:rsidP="00D51A1F">
            <w:pPr>
              <w:jc w:val="both"/>
              <w:rPr>
                <w:rFonts w:ascii="Sylfaen" w:hAnsi="Sylfaen"/>
                <w:lang w:val="ka-GE"/>
              </w:rPr>
            </w:pPr>
            <w:r>
              <w:rPr>
                <w:rFonts w:ascii="Sylfaen" w:hAnsi="Sylfaen"/>
                <w:lang w:val="ka-GE"/>
              </w:rPr>
              <w:t>იხ.პუნქტი 6.1.</w:t>
            </w:r>
          </w:p>
        </w:tc>
      </w:tr>
      <w:tr w:rsidR="00AB74DE" w:rsidRPr="00381570" w:rsidTr="00997D7F">
        <w:tc>
          <w:tcPr>
            <w:tcW w:w="918" w:type="dxa"/>
          </w:tcPr>
          <w:p w:rsidR="00AB74DE" w:rsidRDefault="00AB74DE" w:rsidP="00AB74DE">
            <w:pPr>
              <w:jc w:val="both"/>
              <w:rPr>
                <w:rFonts w:ascii="Sylfaen" w:hAnsi="Sylfaen"/>
                <w:lang w:val="ka-GE"/>
              </w:rPr>
            </w:pPr>
            <w:r>
              <w:rPr>
                <w:rFonts w:ascii="Sylfaen" w:hAnsi="Sylfaen"/>
                <w:lang w:val="ka-GE"/>
              </w:rPr>
              <w:t>6.5.</w:t>
            </w: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Default="00AB74DE" w:rsidP="00AB74DE">
            <w:pPr>
              <w:jc w:val="both"/>
              <w:rPr>
                <w:rFonts w:ascii="Sylfaen" w:hAnsi="Sylfaen"/>
                <w:lang w:val="ka-GE"/>
              </w:rPr>
            </w:pPr>
          </w:p>
          <w:p w:rsidR="00AB74DE" w:rsidRPr="00AB74DE" w:rsidRDefault="00AB74DE" w:rsidP="00AB74DE">
            <w:pPr>
              <w:jc w:val="both"/>
              <w:rPr>
                <w:rFonts w:ascii="Sylfaen" w:hAnsi="Sylfaen"/>
              </w:rPr>
            </w:pPr>
          </w:p>
        </w:tc>
        <w:tc>
          <w:tcPr>
            <w:tcW w:w="2037" w:type="dxa"/>
          </w:tcPr>
          <w:p w:rsidR="00AB74DE" w:rsidRPr="00AB74DE" w:rsidRDefault="00AB74DE" w:rsidP="00AB74DE">
            <w:pPr>
              <w:jc w:val="both"/>
              <w:rPr>
                <w:rFonts w:ascii="Sylfaen" w:hAnsi="Sylfaen"/>
              </w:rPr>
            </w:pPr>
            <w:r w:rsidRPr="000F7C18">
              <w:rPr>
                <w:rFonts w:ascii="Sylfaen" w:hAnsi="Sylfaen"/>
                <w:lang w:val="ka-GE"/>
              </w:rPr>
              <w:lastRenderedPageBreak/>
              <w:t>ამ შეთანხმების საფუძველზე წარმოშობილი სადაო საკითხების თავიდან აცილება და აღმოფხვრა მიიღწევა ცალკეული სახელმწიფოებრი</w:t>
            </w:r>
            <w:r w:rsidRPr="000F7C18">
              <w:rPr>
                <w:rFonts w:ascii="Sylfaen" w:hAnsi="Sylfaen"/>
                <w:lang w:val="ka-GE"/>
              </w:rPr>
              <w:lastRenderedPageBreak/>
              <w:t>ვი სამართლებრივი ნორმების, კოლექტიური ხელშეკრულებების ან პრაქტიკის შესაბამისად.</w:t>
            </w:r>
          </w:p>
        </w:tc>
        <w:tc>
          <w:tcPr>
            <w:tcW w:w="357" w:type="dxa"/>
          </w:tcPr>
          <w:p w:rsidR="00AB74DE" w:rsidRDefault="00AB74DE" w:rsidP="00D51A1F">
            <w:pPr>
              <w:jc w:val="both"/>
              <w:rPr>
                <w:rFonts w:ascii="Sylfaen" w:hAnsi="Sylfaen"/>
                <w:lang w:val="ka-GE"/>
              </w:rPr>
            </w:pPr>
          </w:p>
        </w:tc>
        <w:tc>
          <w:tcPr>
            <w:tcW w:w="666" w:type="dxa"/>
          </w:tcPr>
          <w:p w:rsidR="00AB74DE" w:rsidRDefault="00AB74DE" w:rsidP="00D51A1F">
            <w:pPr>
              <w:jc w:val="both"/>
              <w:rPr>
                <w:rFonts w:ascii="Sylfaen" w:hAnsi="Sylfaen"/>
                <w:lang w:val="ka-GE"/>
              </w:rPr>
            </w:pPr>
          </w:p>
        </w:tc>
        <w:tc>
          <w:tcPr>
            <w:tcW w:w="3420" w:type="dxa"/>
          </w:tcPr>
          <w:p w:rsidR="00AB74DE" w:rsidRPr="00477075" w:rsidRDefault="00AB74DE" w:rsidP="00D51A1F">
            <w:pPr>
              <w:jc w:val="both"/>
              <w:rPr>
                <w:rFonts w:ascii="Sylfaen" w:hAnsi="Sylfaen"/>
                <w:lang w:val="ka-GE"/>
              </w:rPr>
            </w:pPr>
          </w:p>
        </w:tc>
        <w:tc>
          <w:tcPr>
            <w:tcW w:w="630" w:type="dxa"/>
          </w:tcPr>
          <w:p w:rsidR="00AB74DE" w:rsidRDefault="00AB74DE" w:rsidP="00D51A1F">
            <w:pPr>
              <w:jc w:val="both"/>
              <w:rPr>
                <w:rFonts w:ascii="Sylfaen" w:hAnsi="Sylfaen"/>
                <w:lang w:val="ka-GE"/>
              </w:rPr>
            </w:pPr>
          </w:p>
        </w:tc>
        <w:tc>
          <w:tcPr>
            <w:tcW w:w="4950" w:type="dxa"/>
          </w:tcPr>
          <w:p w:rsidR="00AB74DE" w:rsidRPr="00340AED" w:rsidRDefault="00AB74DE" w:rsidP="00D51A1F">
            <w:pPr>
              <w:jc w:val="both"/>
              <w:rPr>
                <w:rFonts w:ascii="Sylfaen" w:hAnsi="Sylfaen"/>
                <w:lang w:val="ka-GE"/>
              </w:rPr>
            </w:pPr>
          </w:p>
        </w:tc>
      </w:tr>
      <w:tr w:rsidR="00AB74DE" w:rsidRPr="00381570" w:rsidTr="00997D7F">
        <w:tc>
          <w:tcPr>
            <w:tcW w:w="918" w:type="dxa"/>
          </w:tcPr>
          <w:p w:rsidR="00AB74DE" w:rsidRDefault="00AB74DE" w:rsidP="00AB74DE">
            <w:pPr>
              <w:jc w:val="both"/>
              <w:rPr>
                <w:rFonts w:ascii="Sylfaen" w:hAnsi="Sylfaen"/>
                <w:lang w:val="ka-GE"/>
              </w:rPr>
            </w:pPr>
            <w:r>
              <w:rPr>
                <w:rFonts w:ascii="Sylfaen" w:hAnsi="Sylfaen"/>
                <w:lang w:val="ka-GE"/>
              </w:rPr>
              <w:lastRenderedPageBreak/>
              <w:t>6.6.</w:t>
            </w:r>
          </w:p>
        </w:tc>
        <w:tc>
          <w:tcPr>
            <w:tcW w:w="2037" w:type="dxa"/>
          </w:tcPr>
          <w:p w:rsidR="00AB74DE" w:rsidRDefault="00AB74DE" w:rsidP="00AB74DE">
            <w:pPr>
              <w:jc w:val="both"/>
              <w:rPr>
                <w:rFonts w:ascii="Sylfaen" w:hAnsi="Sylfaen"/>
                <w:lang w:val="ka-GE"/>
              </w:rPr>
            </w:pPr>
            <w:r w:rsidRPr="000F7C18">
              <w:rPr>
                <w:rFonts w:ascii="Sylfaen" w:hAnsi="Sylfaen"/>
                <w:lang w:val="ka-GE"/>
              </w:rPr>
              <w:t>ხელმომწერი მხარეები ამოწმებენ ამ შეთანხმების გამოყენებას საბჭოს კომიტეტის გადაწყვეტილების მიღებიდან ხუთი წლის შემდეგ, თუ ერთ-ერთი მათგანი განაცხადებს ამის შესახებ.</w:t>
            </w:r>
          </w:p>
          <w:p w:rsidR="00AB74DE" w:rsidRPr="000F7C18" w:rsidRDefault="00AB74DE" w:rsidP="00AB74DE">
            <w:pPr>
              <w:jc w:val="both"/>
              <w:rPr>
                <w:rFonts w:ascii="Sylfaen" w:hAnsi="Sylfaen"/>
                <w:lang w:val="ka-GE"/>
              </w:rPr>
            </w:pPr>
          </w:p>
        </w:tc>
        <w:tc>
          <w:tcPr>
            <w:tcW w:w="357" w:type="dxa"/>
          </w:tcPr>
          <w:p w:rsidR="00AB74DE" w:rsidRDefault="00AB74DE" w:rsidP="00D51A1F">
            <w:pPr>
              <w:jc w:val="both"/>
              <w:rPr>
                <w:rFonts w:ascii="Sylfaen" w:hAnsi="Sylfaen"/>
                <w:lang w:val="ka-GE"/>
              </w:rPr>
            </w:pPr>
          </w:p>
        </w:tc>
        <w:tc>
          <w:tcPr>
            <w:tcW w:w="666" w:type="dxa"/>
          </w:tcPr>
          <w:p w:rsidR="00AB74DE" w:rsidRDefault="00AB74DE" w:rsidP="00D51A1F">
            <w:pPr>
              <w:jc w:val="both"/>
              <w:rPr>
                <w:rFonts w:ascii="Sylfaen" w:hAnsi="Sylfaen"/>
                <w:lang w:val="ka-GE"/>
              </w:rPr>
            </w:pPr>
          </w:p>
        </w:tc>
        <w:tc>
          <w:tcPr>
            <w:tcW w:w="3420" w:type="dxa"/>
          </w:tcPr>
          <w:p w:rsidR="00AB74DE" w:rsidRPr="00477075" w:rsidRDefault="00AB74DE" w:rsidP="00D51A1F">
            <w:pPr>
              <w:jc w:val="both"/>
              <w:rPr>
                <w:rFonts w:ascii="Sylfaen" w:hAnsi="Sylfaen"/>
                <w:lang w:val="ka-GE"/>
              </w:rPr>
            </w:pPr>
          </w:p>
        </w:tc>
        <w:tc>
          <w:tcPr>
            <w:tcW w:w="630" w:type="dxa"/>
          </w:tcPr>
          <w:p w:rsidR="00AB74DE" w:rsidRDefault="00A03FE3" w:rsidP="00D51A1F">
            <w:pPr>
              <w:jc w:val="both"/>
              <w:rPr>
                <w:rFonts w:ascii="Sylfaen" w:hAnsi="Sylfaen"/>
                <w:lang w:val="ka-GE"/>
              </w:rPr>
            </w:pPr>
            <w:r>
              <w:rPr>
                <w:rFonts w:ascii="Sylfaen" w:hAnsi="Sylfaen"/>
                <w:lang w:val="ka-GE"/>
              </w:rPr>
              <w:t>ას</w:t>
            </w:r>
          </w:p>
        </w:tc>
        <w:tc>
          <w:tcPr>
            <w:tcW w:w="4950" w:type="dxa"/>
          </w:tcPr>
          <w:p w:rsidR="00AB74DE" w:rsidRPr="00340AED" w:rsidRDefault="00A03FE3" w:rsidP="00D51A1F">
            <w:pPr>
              <w:jc w:val="both"/>
              <w:rPr>
                <w:rFonts w:ascii="Sylfaen" w:hAnsi="Sylfaen"/>
                <w:lang w:val="ka-GE"/>
              </w:rPr>
            </w:pPr>
            <w:r>
              <w:rPr>
                <w:rFonts w:ascii="Sylfaen" w:hAnsi="Sylfaen"/>
                <w:lang w:val="ka-GE"/>
              </w:rPr>
              <w:t>იხ.პუნქტი 6.1.</w:t>
            </w:r>
          </w:p>
        </w:tc>
      </w:tr>
    </w:tbl>
    <w:p w:rsidR="00381570" w:rsidRPr="00381570" w:rsidRDefault="00381570" w:rsidP="00381570">
      <w:pPr>
        <w:spacing w:after="0" w:line="240" w:lineRule="auto"/>
        <w:jc w:val="both"/>
        <w:rPr>
          <w:rFonts w:ascii="Sylfaen" w:hAnsi="Sylfaen"/>
          <w:sz w:val="18"/>
          <w:szCs w:val="18"/>
          <w:lang w:val="ka-GE"/>
        </w:rPr>
      </w:pPr>
    </w:p>
    <w:p w:rsidR="00381570" w:rsidRPr="00381570" w:rsidRDefault="00381570" w:rsidP="006968F9">
      <w:pPr>
        <w:spacing w:after="0" w:line="240" w:lineRule="auto"/>
        <w:rPr>
          <w:rFonts w:ascii="Sylfaen" w:hAnsi="Sylfaen"/>
          <w:lang w:val="ka-GE"/>
        </w:rPr>
      </w:pPr>
    </w:p>
    <w:sectPr w:rsidR="00381570" w:rsidRPr="00381570" w:rsidSect="00997D7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compat/>
  <w:rsids>
    <w:rsidRoot w:val="006968F9"/>
    <w:rsid w:val="00003522"/>
    <w:rsid w:val="000042B3"/>
    <w:rsid w:val="00025501"/>
    <w:rsid w:val="00065E0F"/>
    <w:rsid w:val="00084D6A"/>
    <w:rsid w:val="0008537A"/>
    <w:rsid w:val="00090FD5"/>
    <w:rsid w:val="00097EB8"/>
    <w:rsid w:val="000A089B"/>
    <w:rsid w:val="000A599B"/>
    <w:rsid w:val="000B29A1"/>
    <w:rsid w:val="000C3F83"/>
    <w:rsid w:val="000F7C18"/>
    <w:rsid w:val="00106F3B"/>
    <w:rsid w:val="00120C80"/>
    <w:rsid w:val="001218DD"/>
    <w:rsid w:val="001224C4"/>
    <w:rsid w:val="00140F83"/>
    <w:rsid w:val="001431D8"/>
    <w:rsid w:val="00151D1F"/>
    <w:rsid w:val="00154F4A"/>
    <w:rsid w:val="001853EA"/>
    <w:rsid w:val="00191B05"/>
    <w:rsid w:val="001D41CE"/>
    <w:rsid w:val="001D69B0"/>
    <w:rsid w:val="001F3BF8"/>
    <w:rsid w:val="001F56E7"/>
    <w:rsid w:val="00206FDD"/>
    <w:rsid w:val="00207541"/>
    <w:rsid w:val="00210243"/>
    <w:rsid w:val="0021097C"/>
    <w:rsid w:val="00235522"/>
    <w:rsid w:val="00254CA3"/>
    <w:rsid w:val="002632AB"/>
    <w:rsid w:val="0026618A"/>
    <w:rsid w:val="002712BC"/>
    <w:rsid w:val="00290BB3"/>
    <w:rsid w:val="002B41EF"/>
    <w:rsid w:val="002B4730"/>
    <w:rsid w:val="002C2727"/>
    <w:rsid w:val="002D0977"/>
    <w:rsid w:val="00301209"/>
    <w:rsid w:val="003077B4"/>
    <w:rsid w:val="00312292"/>
    <w:rsid w:val="00315C1B"/>
    <w:rsid w:val="00333192"/>
    <w:rsid w:val="00340AED"/>
    <w:rsid w:val="00343D44"/>
    <w:rsid w:val="00345DB8"/>
    <w:rsid w:val="003535E2"/>
    <w:rsid w:val="00381570"/>
    <w:rsid w:val="0038242C"/>
    <w:rsid w:val="003A21F5"/>
    <w:rsid w:val="003B2AB7"/>
    <w:rsid w:val="003D255B"/>
    <w:rsid w:val="003F14F3"/>
    <w:rsid w:val="003F23EB"/>
    <w:rsid w:val="003F6781"/>
    <w:rsid w:val="004070F1"/>
    <w:rsid w:val="00407DCD"/>
    <w:rsid w:val="0043115B"/>
    <w:rsid w:val="00440666"/>
    <w:rsid w:val="00465BA5"/>
    <w:rsid w:val="00477075"/>
    <w:rsid w:val="00490D28"/>
    <w:rsid w:val="00496BF0"/>
    <w:rsid w:val="004A3B4A"/>
    <w:rsid w:val="004A478C"/>
    <w:rsid w:val="004B342F"/>
    <w:rsid w:val="004E17BD"/>
    <w:rsid w:val="004E5AF9"/>
    <w:rsid w:val="00501C8B"/>
    <w:rsid w:val="0050279B"/>
    <w:rsid w:val="00525809"/>
    <w:rsid w:val="00530C79"/>
    <w:rsid w:val="005414AF"/>
    <w:rsid w:val="005474C6"/>
    <w:rsid w:val="00551E96"/>
    <w:rsid w:val="005525B7"/>
    <w:rsid w:val="005923E0"/>
    <w:rsid w:val="005A6698"/>
    <w:rsid w:val="005B0627"/>
    <w:rsid w:val="005B2848"/>
    <w:rsid w:val="005B6A35"/>
    <w:rsid w:val="005D6E84"/>
    <w:rsid w:val="005E3B2F"/>
    <w:rsid w:val="005E7846"/>
    <w:rsid w:val="005F2CF5"/>
    <w:rsid w:val="005F5C4B"/>
    <w:rsid w:val="0062646C"/>
    <w:rsid w:val="00656767"/>
    <w:rsid w:val="00660809"/>
    <w:rsid w:val="006853B7"/>
    <w:rsid w:val="00693926"/>
    <w:rsid w:val="006968F9"/>
    <w:rsid w:val="006A14B7"/>
    <w:rsid w:val="006B630F"/>
    <w:rsid w:val="006D2538"/>
    <w:rsid w:val="006E0AEF"/>
    <w:rsid w:val="006E1F6E"/>
    <w:rsid w:val="00713CE6"/>
    <w:rsid w:val="00725E98"/>
    <w:rsid w:val="00727C3B"/>
    <w:rsid w:val="00734CA9"/>
    <w:rsid w:val="00747190"/>
    <w:rsid w:val="007600F7"/>
    <w:rsid w:val="007606B3"/>
    <w:rsid w:val="007730A7"/>
    <w:rsid w:val="007A63B3"/>
    <w:rsid w:val="007C0154"/>
    <w:rsid w:val="007C3F40"/>
    <w:rsid w:val="007C6AE1"/>
    <w:rsid w:val="007D7DFC"/>
    <w:rsid w:val="007E10B9"/>
    <w:rsid w:val="007E253E"/>
    <w:rsid w:val="007F504F"/>
    <w:rsid w:val="0082216B"/>
    <w:rsid w:val="00843E0B"/>
    <w:rsid w:val="00845673"/>
    <w:rsid w:val="00852D47"/>
    <w:rsid w:val="00852EC7"/>
    <w:rsid w:val="0086146F"/>
    <w:rsid w:val="0086361B"/>
    <w:rsid w:val="008672AB"/>
    <w:rsid w:val="00870896"/>
    <w:rsid w:val="00891FA7"/>
    <w:rsid w:val="008A2CFF"/>
    <w:rsid w:val="008A37A5"/>
    <w:rsid w:val="008C0D66"/>
    <w:rsid w:val="008C7BF5"/>
    <w:rsid w:val="008D6943"/>
    <w:rsid w:val="008E2B7F"/>
    <w:rsid w:val="008F1A52"/>
    <w:rsid w:val="008F3304"/>
    <w:rsid w:val="00901617"/>
    <w:rsid w:val="00901781"/>
    <w:rsid w:val="0090642D"/>
    <w:rsid w:val="0090642F"/>
    <w:rsid w:val="0091488D"/>
    <w:rsid w:val="009243D3"/>
    <w:rsid w:val="00966BC6"/>
    <w:rsid w:val="00997D7F"/>
    <w:rsid w:val="009A6A9F"/>
    <w:rsid w:val="009A7934"/>
    <w:rsid w:val="009B27E1"/>
    <w:rsid w:val="009B7E5B"/>
    <w:rsid w:val="009C3210"/>
    <w:rsid w:val="009C4126"/>
    <w:rsid w:val="009C45B2"/>
    <w:rsid w:val="009C71FC"/>
    <w:rsid w:val="00A00989"/>
    <w:rsid w:val="00A03FE3"/>
    <w:rsid w:val="00A1568C"/>
    <w:rsid w:val="00A2493D"/>
    <w:rsid w:val="00A45F51"/>
    <w:rsid w:val="00A55946"/>
    <w:rsid w:val="00A70E96"/>
    <w:rsid w:val="00AB74DE"/>
    <w:rsid w:val="00AC6055"/>
    <w:rsid w:val="00AD54B0"/>
    <w:rsid w:val="00AD5FBA"/>
    <w:rsid w:val="00AF62D2"/>
    <w:rsid w:val="00B04297"/>
    <w:rsid w:val="00B12778"/>
    <w:rsid w:val="00B266A9"/>
    <w:rsid w:val="00B32393"/>
    <w:rsid w:val="00B33EC5"/>
    <w:rsid w:val="00B576CB"/>
    <w:rsid w:val="00B622E0"/>
    <w:rsid w:val="00B77715"/>
    <w:rsid w:val="00B85A18"/>
    <w:rsid w:val="00B92F5B"/>
    <w:rsid w:val="00BC0C60"/>
    <w:rsid w:val="00BE27F4"/>
    <w:rsid w:val="00BE68BB"/>
    <w:rsid w:val="00BF65A7"/>
    <w:rsid w:val="00C0289F"/>
    <w:rsid w:val="00C04C56"/>
    <w:rsid w:val="00C11BDD"/>
    <w:rsid w:val="00C15251"/>
    <w:rsid w:val="00C4413D"/>
    <w:rsid w:val="00C5014C"/>
    <w:rsid w:val="00C76566"/>
    <w:rsid w:val="00C90F5C"/>
    <w:rsid w:val="00C967D3"/>
    <w:rsid w:val="00CA17E1"/>
    <w:rsid w:val="00CA3A66"/>
    <w:rsid w:val="00CA637C"/>
    <w:rsid w:val="00CF64F8"/>
    <w:rsid w:val="00D04D7D"/>
    <w:rsid w:val="00D23DCB"/>
    <w:rsid w:val="00D32DA4"/>
    <w:rsid w:val="00D40BEB"/>
    <w:rsid w:val="00D43E9A"/>
    <w:rsid w:val="00D51A1F"/>
    <w:rsid w:val="00D530A7"/>
    <w:rsid w:val="00D610F3"/>
    <w:rsid w:val="00D623A1"/>
    <w:rsid w:val="00D84470"/>
    <w:rsid w:val="00DE1F1E"/>
    <w:rsid w:val="00DF061F"/>
    <w:rsid w:val="00E264BE"/>
    <w:rsid w:val="00E27425"/>
    <w:rsid w:val="00E31595"/>
    <w:rsid w:val="00E335BB"/>
    <w:rsid w:val="00E71091"/>
    <w:rsid w:val="00E76F98"/>
    <w:rsid w:val="00E97A81"/>
    <w:rsid w:val="00EA6944"/>
    <w:rsid w:val="00EB7424"/>
    <w:rsid w:val="00EC401B"/>
    <w:rsid w:val="00EC55AE"/>
    <w:rsid w:val="00ED2161"/>
    <w:rsid w:val="00F22CE3"/>
    <w:rsid w:val="00F52580"/>
    <w:rsid w:val="00F54982"/>
    <w:rsid w:val="00F71D3E"/>
    <w:rsid w:val="00F74D2C"/>
    <w:rsid w:val="00F830F9"/>
    <w:rsid w:val="00F94B64"/>
    <w:rsid w:val="00FB2FC7"/>
    <w:rsid w:val="00FB6C98"/>
    <w:rsid w:val="00FD50C0"/>
    <w:rsid w:val="00FD5368"/>
    <w:rsid w:val="00FD7229"/>
    <w:rsid w:val="00FE41E4"/>
    <w:rsid w:val="00FE5C4F"/>
    <w:rsid w:val="00FE6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9A6A9F"/>
    <w:rPr>
      <w:color w:val="0000FF" w:themeColor="hyperlink"/>
      <w:u w:val="single"/>
    </w:rPr>
  </w:style>
  <w:style w:type="paragraph" w:styleId="BodyText">
    <w:name w:val="Body Text"/>
    <w:basedOn w:val="Normal"/>
    <w:link w:val="BodyTextChar"/>
    <w:uiPriority w:val="1"/>
    <w:qFormat/>
    <w:rsid w:val="001F3BF8"/>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1F3BF8"/>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tsne.gov.ge/ka/document/view/2037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sne.gov.ge/ka/document/view/3034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84873-18FC-41EA-9D42-91E0986E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8</cp:revision>
  <dcterms:created xsi:type="dcterms:W3CDTF">2020-02-27T10:16:00Z</dcterms:created>
  <dcterms:modified xsi:type="dcterms:W3CDTF">2020-02-28T20:36:00Z</dcterms:modified>
</cp:coreProperties>
</file>